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1a ButtV 1997 — Begriffsbestimmung</w:t>
      </w:r>
    </w:p>
    <w:p>
      <w:r>
        <w:rPr>
          <w:color w:val="555555"/>
          <w:sz w:val="18"/>
        </w:rPr>
        <w:t xml:space="preserve">Butterverordnung</w:t>
      </w:r>
    </w:p>
    <w:p>
      <w:r>
        <w:rPr>
          <w:color w:val="555555"/>
          <w:sz w:val="18"/>
        </w:rPr>
        <w:t xml:space="preserve">Historische Fassung: Stand 10.06.2019 bis 14.06.2026. Dies ist nicht die aktuelle Fassung.</w:t>
      </w:r>
    </w:p>
    <w:p>
      <w:r>
        <w:t xml:space="preserve">Molkerei im Sinne dieser Verordnung ist ein milchwirtschaftliches Unternehmen, das im Durchschnitt eines Jahres täglich mindestens 500 Liter Milch oder eine hieraus herzustellende entsprechende Menge an Milcherzeugnissen be- oder verarbeitet und die hierfür erforderlichen technischen Einrichtungen besitzt.</w:t>
      </w:r>
    </w:p>
    <w:p>
      <w:r>
        <w:rPr>
          <w:color w:val="555555"/>
          <w:sz w:val="17"/>
        </w:rPr>
        <w:t xml:space="preserve">Zitiervorschlag: § 1a ButtV 1997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https://recht.nulegal.eu/gesetze/ButtV%201997/1a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