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ButtV 1997 — Ordnungswidrigkeiten</w:t>
      </w:r>
    </w:p>
    <w:p>
      <w:r>
        <w:rPr>
          <w:color w:val="555555"/>
          <w:sz w:val="18"/>
        </w:rPr>
        <w:t xml:space="preserve">Butterverordnung</w:t>
      </w:r>
    </w:p>
    <w:p>
      <w:r>
        <w:rPr>
          <w:color w:val="555555"/>
          <w:sz w:val="18"/>
        </w:rPr>
        <w:t xml:space="preserve">Historische Fassung: Stand 10.06.2019 bis 14.06.2026. Dies ist nicht die aktuelle Fassung.</w:t>
      </w:r>
    </w:p>
    <w:p>
      <w:r>
        <w:t xml:space="preserve">(1) Ordnungswidrig im Sinne des § 9 Absatz 2 Nummer 2 des Milch- und Margarinegesetzes handelt, wer vorsätzlich oder fahrlässig</w:t>
      </w:r>
    </w:p>
    <w:p>
      <w:pPr>
        <w:ind w:left="420"/>
      </w:pPr>
      <w:r>
        <w:t xml:space="preserve">1. entgegen § 2 Abs. 1 oder § 4 Satz 1 Butter in den Verkehr bringt,</w:t>
      </w:r>
    </w:p>
    <w:p>
      <w:pPr>
        <w:ind w:left="420"/>
      </w:pPr>
      <w:r>
        <w:t xml:space="preserve">2. entgegen § 10 Abs. 2 Buttereinwickler verwendet,</w:t>
      </w:r>
    </w:p>
    <w:p>
      <w:pPr>
        <w:ind w:left="420"/>
      </w:pPr>
      <w:r>
        <w:t xml:space="preserve">3. entgegen § 11 Butter der Handelsklassen in den Verkehr bringt, die nicht oder nicht in der vorgeschriebenen Weise gekennzeichnet ist, oder</w:t>
      </w:r>
    </w:p>
    <w:p>
      <w:pPr>
        <w:ind w:left="420"/>
      </w:pPr>
      <w:r>
        <w:t xml:space="preserve">4. entgegen § 12 Abs. 1 Butter aus einem anderen Mitgliedstaat der Europäischen Union in den Verkehr bringt.</w:t>
      </w:r>
    </w:p>
    <w:p>
      <w:r>
        <w:t xml:space="preserve">(2) Ordnungswidrig im Sinne des § 30 Abs. 1 Nr. 9 des Milch- und Fettgesetzes handelt, wer vorsätzlich oder fahrlässig entgegen § 13 Abs. 2 das Gütezeichen führt.</w:t>
      </w:r>
    </w:p>
    <w:p>
      <w:r>
        <w:t xml:space="preserve">(3) Ordnungswidrig im Sinne des § 60 Abs. 2 Nr. 26 Buchstabe a des Lebensmittel- und Futtermittelgesetzbuches handelt, wer vorsätzlich oder fahrlässig entgegen § 3 Abs. 1 oder § 15 Abs. 1 ein dort genanntes Erzeugnis in den Verkehr bringt, das nicht oder nicht in der vorgeschriebenen Weise gekennzeichnet ist.</w:t>
      </w:r>
    </w:p>
    <w:p>
      <w:r>
        <w:rPr>
          <w:color w:val="555555"/>
          <w:sz w:val="17"/>
        </w:rPr>
        <w:t xml:space="preserve">Zitiervorschlag: § 17 ButtV 1997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https://recht.nulegal.eu/gesetze/ButtV%201997/17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