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ButtV 1997 — Gütezeichen für Markenbutter</w:t>
      </w:r>
    </w:p>
    <w:p>
      <w:r>
        <w:rPr>
          <w:color w:val="555555"/>
          <w:sz w:val="18"/>
        </w:rPr>
        <w:t xml:space="preserve">Butterverordnung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Für Markenbutter darf das nebenstehend abgebildete Gütezeichen nach Maßgabe der Absätze 2 bis 4 verwendet werden. Das Gütezeichen besteht aus einem stilisierten Adler mit ovaler Umrandung. Die Umrandung enthält die Inschrift: "In Deutschland geprüfte Markenware". (Inhalt: nicht darstellbares Gütezeichen, Fundstelle: BGBl. I 1997, 147)</w:t>
      </w:r>
    </w:p>
    <w:p>
      <w:r>
        <w:t xml:space="preserve">(2) Für im Geltungsbereich dieser Verordnung hergestellte Butter darf das Gütezeichen nur von einer Molkerei geführt werden, die die Markenberechtigung nach § 8 hat.</w:t>
      </w:r>
    </w:p>
    <w:p>
      <w:r>
        <w:t xml:space="preserve">(3) Für Butter im Sinne des § 12 darf das Gütezeichen von der herstellenden Molkerei verwendet werden, wenn die Molkerei auf schriftlichen Antrag von einer nach Landesrecht zuständigen Stelle nach drei aufeinanderfolgenden monatlichen Prüfungen der Butter nach § 7 Abs. 1 und 3 in Verbindung mit Anlage 1 ein Prüfzertifikat erhalten hat, wonach die Butter die Qualitätsanforderungen nach § 6 Abs. 1 Nr. 2 erfüllt.</w:t>
      </w:r>
    </w:p>
    <w:p>
      <w:r>
        <w:t xml:space="preserve">(4) Für Widerruf, Wiedererteilung und Erlöschen des Prüfzertifikats gilt § 8 Abs. 2 bis 4 entsprechend.</w:t>
      </w:r>
    </w:p>
    <w:p>
      <w:r>
        <w:t xml:space="preserve">(5) Im Falle der Verwendung des Gütezeichens nach Absatz 1 sind auf der Verpackung die Worte "Amtliche Qualitätskontrolle des Landes ... Überwachungsstelle ..." anzubringen.</w:t>
      </w:r>
    </w:p>
    <w:p>
      <w:r>
        <w:rPr>
          <w:color w:val="555555"/>
          <w:sz w:val="17"/>
        </w:rPr>
        <w:t xml:space="preserve">Zitiervorschlag: § 13 ButtV 1997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https://recht.nulegal.eu/gesetze/ButtV%201997/13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