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ButtV 1997 — Anwendungsbereich</w:t>
      </w:r>
    </w:p>
    <w:p>
      <w:r>
        <w:rPr>
          <w:color w:val="555555"/>
          <w:sz w:val="18"/>
        </w:rPr>
        <w:t xml:space="preserve">Butterverordnung</w:t>
      </w:r>
    </w:p>
    <w:p>
      <w:r>
        <w:rPr>
          <w:color w:val="555555"/>
          <w:sz w:val="18"/>
        </w:rPr>
        <w:t xml:space="preserve">Historische Fassung: Stand 10.06.2019 bis 14.06.2026. Dies ist nicht die aktuelle Fassung.</w:t>
      </w:r>
    </w:p>
    <w:p>
      <w:r>
        <w:t xml:space="preserve">(1) Die Vorschriften dieser Verordnung finden Anwendung auf Butter, Dreiviertelfettbutter, Halbfettbutter und Milchstreichfett X vom Hundert (Milchstreichfette) im Sinne des Teils A der Anlage zu Anhang XV der Verordnung (EG) Nr. 1234/2007 des Rates vom 22. Oktober 2007 über eine gemeinsame Organisation der Agrarmärkte und mit Sondervorschriften für bestimmte landwirtschaftliche Erzeugnisse (ABl. L 299 vom 16.11.2007, S. 1) in der jeweils geltenden Fassung (im folgenden: EG-Verordnung).</w:t>
      </w:r>
    </w:p>
    <w:p>
      <w:r>
        <w:t xml:space="preserve">(2) Die Vorschriften gelten für das Herstellen, Behandeln sowie das Inverkehrbringen dieser Erzeugnisse.</w:t>
      </w:r>
    </w:p>
    <w:p>
      <w:r>
        <w:rPr>
          <w:color w:val="555555"/>
          <w:sz w:val="17"/>
        </w:rPr>
        <w:t xml:space="preserve">Zitiervorschlag: § 1 ButtV 1997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https://recht.nulegal.eu/gesetze/ButtV%201997/1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