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BundFamkV</w:t>
      </w:r>
    </w:p>
    <w:p>
      <w:r>
        <w:rPr>
          <w:color w:val="555555"/>
          <w:sz w:val="18"/>
        </w:rPr>
        <w:t xml:space="preserve">Bundesfamilienkassenverordnung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Auf Grund des § 5 Abs. 1 Nr. 11 Satz 5 in Verbindung mit Satz 6 des Finanzverwaltungsgesetzes vom 30. August 1971 (BGBl. I S. 1426, 1427), von denen Satz 5 und 6 durch Artikel 6 des Gesetzes vom 22. Dezember 1999 (BGBl. I S. 2552) eingefügt worden sind, verordnet das Bundesministerium der Finanzen:</w:t>
      </w:r>
    </w:p>
    <w:p>
      <w:r>
        <w:rPr>
          <w:color w:val="555555"/>
          <w:sz w:val="17"/>
        </w:rPr>
        <w:t xml:space="preserve">Zitiervorschlag: Eingangsformel BundFamkV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https://recht.nulegal.eu/gesetze/BundFamkV/eingangsformel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