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BundFamkV — Einrichtung, Zuständigkeit</w:t>
      </w:r>
    </w:p>
    <w:p>
      <w:r>
        <w:rPr>
          <w:color w:val="555555"/>
          <w:sz w:val="18"/>
        </w:rPr>
        <w:t xml:space="preserve">Bundesfamilienkassenverordnung</w:t>
      </w:r>
    </w:p>
    <w:p>
      <w:r>
        <w:rPr>
          <w:color w:val="555555"/>
          <w:sz w:val="18"/>
        </w:rPr>
        <w:t xml:space="preserve">Historische Fassung: Stand 10.06.2019 bis 01.01.2022. Dies ist nicht die aktuelle Fassung.</w:t>
      </w:r>
    </w:p>
    <w:p>
      <w:r>
        <w:t xml:space="preserve">(1) Zur Wahrnehmung der Aufgaben einer Familienkasse im Sinne des § 72 Abs. 1 Satz 2 des Einkommensteuergesetzes wird beim Bundesamt für zentrale Dienste und offene Vermögensfragen eine Bundesfamilienkasse eingerichtet.</w:t>
      </w:r>
    </w:p>
    <w:p>
      <w:r>
        <w:t xml:space="preserve">(2) Der Bundesfamilienkasse obliegt die Festsetzung und Auszahlung von Kindergeld an die in § 72 Abs. 1 Nr. 1 bis 3 des Einkommensteuergesetzes bezeichneten Angehörigen der Bundesfinanzverwaltung. Der Bundesfamilienkasse können weitere Aufgaben übertragen werden.</w:t>
      </w:r>
    </w:p>
    <w:p>
      <w:r>
        <w:rPr>
          <w:color w:val="555555"/>
          <w:sz w:val="17"/>
        </w:rPr>
        <w:t xml:space="preserve">Zitiervorschlag: § 1 BundFamkV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https://recht.nulegal.eu/gesetze/BundFamkV/1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