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BuchbAusbV 2011 — Inkrafttreten, Außerkrafttreten</w:t>
      </w:r>
    </w:p>
    <w:p>
      <w:r>
        <w:rPr>
          <w:color w:val="555555"/>
          <w:sz w:val="18"/>
        </w:rPr>
        <w:t xml:space="preserve">Buchbinder-Ausbildungsverordnung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2011 in Kraft. Gleichzeitig tritt die Verordnung über die Berufsausbildung zum Buchbinder/zur Buchbinderin vom 8. Dezember 1995 (BGBl. I S. 1610), die durch Artikel 1 der Verordnung vom 11. Juli 2001 (BGBl. I S. 1577) geändert worden ist, außer Kraft.</w:t>
      </w:r>
    </w:p>
    <w:p>
      <w:r>
        <w:rPr>
          <w:color w:val="555555"/>
          <w:sz w:val="17"/>
        </w:rPr>
        <w:t xml:space="preserve">Zitiervorschlag: § 10 BuchbAusbV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https://recht.nulegal.eu/gesetze/BuchbAusbV%202011/10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