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BuchPrG — Schadensersatz- und Unterlassungsansprüche</w:t>
      </w:r>
    </w:p>
    <w:p>
      <w:r>
        <w:rPr>
          <w:color w:val="555555"/>
          <w:sz w:val="18"/>
        </w:rPr>
        <w:t xml:space="preserve">Buchpreisbindungsgesetz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Wer den Vorschriften dieses Gesetzes zuwiderhandelt, kann auf Unterlassung in Anspruch genommen werden. Wer vorsätzlich oder fahrlässig handelt, ist zum Ersatz des durch die Zuwiderhandlung entstandenen Schadens verpflichtet.</w:t>
      </w:r>
    </w:p>
    <w:p>
      <w:r>
        <w:t xml:space="preserve">(2) Der Anspruch auf Unterlassung kann nur geltend gemacht werden</w:t>
      </w:r>
    </w:p>
    <w:p>
      <w:pPr>
        <w:ind w:left="420"/>
      </w:pPr>
      <w:r>
        <w:t xml:space="preserve">1. von Gewerbetreibenden, die Bücher vertreiben,</w:t>
      </w:r>
    </w:p>
    <w:p>
      <w:pPr>
        <w:ind w:left="420"/>
      </w:pPr>
      <w:r>
        <w:t xml:space="preserve">2. von rechtsfähigen Verbänden zur Förderung gewerblicher oder selbstständiger beruflicher Interessen, die in der Liste der qualifizierten Wirtschaftsverbände nach § 8b des Gesetzes gegen den unlauteren Wettbewerb eingetragen sind,</w:t>
      </w:r>
    </w:p>
    <w:p>
      <w:pPr>
        <w:ind w:left="420"/>
      </w:pPr>
      <w:r>
        <w:t xml:space="preserve">3. von einem Rechtsanwalt, der von Verlegern, Importeuren oder Unternehmen, die Verkäufe an Letztabnehmer tätigen, gemeinsam als Treuhänder damit beauftragt worden ist, ihre Preisbindung zu betreuen (Preisbindungstreuhänder),</w:t>
      </w:r>
    </w:p>
    <w:p>
      <w:pPr>
        <w:ind w:left="420"/>
      </w:pPr>
      <w:r>
        <w:t xml:space="preserve">4. von Stellen nach § 3 Absatz 1 Satz 1 Nummer 1 des Unterlassungsklagengesetzes.</w:t>
      </w:r>
    </w:p>
    <w:p>
      <w:r>
        <w:t xml:space="preserve">Die Stellen nach Satz 1 Nr. 4 können den Anspruch auf Unterlassung nur geltend machen, soweit der Anspruch eine Handlung betrifft, durch die wesentliche Belange der Letztabnehmer berührt werden.</w:t>
      </w:r>
    </w:p>
    <w:p>
      <w:r>
        <w:t xml:space="preserve">(3) Für das Verfahren gelten bei den Anspruchsberechtigten nach Absatz 2 Nr. 1 bis 3 die Vorschriften des Gesetzes gegen den unlauteren Wettbewerb und bei Einrichtungen nach Absatz 2 Nr. 4 die Vorschriften des Unterlassungsklagegesetzes.</w:t>
      </w:r>
    </w:p>
    <w:p>
      <w:r>
        <w:rPr>
          <w:color w:val="555555"/>
          <w:sz w:val="17"/>
        </w:rPr>
        <w:t xml:space="preserve">Zitiervorschlag: § 9 BuchPrG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https://recht.nulegal.eu/gesetze/BuchPrG/9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