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BuchPrG — Anwendungsbereich</w:t>
      </w:r>
    </w:p>
    <w:p>
      <w:r>
        <w:rPr>
          <w:color w:val="555555"/>
          <w:sz w:val="18"/>
        </w:rPr>
        <w:t xml:space="preserve">Buchpreisbindungsgesetz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Bücher im Sinne dieses Gesetzes sind auch</w:t>
      </w:r>
    </w:p>
    <w:p>
      <w:pPr>
        <w:ind w:left="420"/>
      </w:pPr>
      <w:r>
        <w:t xml:space="preserve">1. Musiknoten,</w:t>
      </w:r>
    </w:p>
    <w:p>
      <w:pPr>
        <w:ind w:left="420"/>
      </w:pPr>
      <w:r>
        <w:t xml:space="preserve">2. kartographische Produkte,</w:t>
      </w:r>
    </w:p>
    <w:p>
      <w:pPr>
        <w:ind w:left="420"/>
      </w:pPr>
      <w:r>
        <w:t xml:space="preserve">3. Produkte, die Bücher, Musiknoten oder kartographische Produkte reproduzieren oder substituieren, wie zum Beispiel zum dauerhaften Zugriff angebotene elektronische Bücher, und bei Würdigung der Gesamtumstände als überwiegend verlags- oder buchhandelstypisch anzusehen sind sowie</w:t>
      </w:r>
    </w:p>
    <w:p>
      <w:pPr>
        <w:ind w:left="420"/>
      </w:pPr>
      <w:r>
        <w:t xml:space="preserve">4. kombinierte Objekte, bei denen eines der genannten Erzeugnisse die Hauptsache bildet.</w:t>
      </w:r>
    </w:p>
    <w:p>
      <w:r>
        <w:t xml:space="preserve">(2) Fremdsprachige Bücher fallen nur dann unter dieses Gesetz, wenn sie überwiegend für den Absatz in Deutschland bestimmt sind.</w:t>
      </w:r>
    </w:p>
    <w:p>
      <w:r>
        <w:t xml:space="preserve">(3) Letztabnehmer im Sinne dieses Gesetzes ist, wer Bücher zu anderen Zwecken als dem Weiterverkauf erwirbt.</w:t>
      </w:r>
    </w:p>
    <w:p>
      <w:r>
        <w:rPr>
          <w:color w:val="555555"/>
          <w:sz w:val="17"/>
        </w:rPr>
        <w:t xml:space="preserve">Zitiervorschlag: § 2 BuchPrG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https://recht.nulegal.eu/gesetze/BuchPrG/2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