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BuchPrG — Bucheinsicht</w:t>
      </w:r>
    </w:p>
    <w:p>
      <w:r>
        <w:rPr>
          <w:color w:val="555555"/>
          <w:sz w:val="18"/>
        </w:rPr>
        <w:t xml:space="preserve">Buchpreisbindungsgesetz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Sofern der begründete Verdacht vorliegt, dass ein Unternehmen gegen § 3 verstoßen hat, kann ein Gewerbetreibender, der ebenfalls Bücher vertreibt, verlangen, dass dieses Unternehmen einem von Berufs wegen zur Verschwiegenheit verpflichteten Angehörigen der wirtschafts- oder steuerberatenden Berufe Einblick in seine Bücher und Geschäftsunterlagen gewährt. Der Bericht des Buchprüfers darf sich ausschließlich auf die ihm bekannt gewordenen Verstöße gegen die Vorschriften dieses Gesetzes beziehen.</w:t>
      </w:r>
    </w:p>
    <w:p>
      <w:r>
        <w:t xml:space="preserve">(2) Liegt eine Zuwiderhandlung vor, kann der Gewerbetreibende von dem zuwiderhandelnden Unternehmen die Erstattung der notwendigen Kosten der Buchprüfung verlangen.</w:t>
      </w:r>
    </w:p>
    <w:p>
      <w:r>
        <w:rPr>
          <w:color w:val="555555"/>
          <w:sz w:val="17"/>
        </w:rPr>
        <w:t xml:space="preserve">Zitiervorschlag: § 10 BuchPrG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https://recht.nulegal.eu/gesetze/BuchPrG/10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