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BuchPrG — Zweck des Gesetzes</w:t>
      </w:r>
    </w:p>
    <w:p>
      <w:r>
        <w:rPr>
          <w:color w:val="555555"/>
          <w:sz w:val="18"/>
        </w:rPr>
        <w:t xml:space="preserve">Buchpreisbindungsgesetz</w:t>
      </w:r>
    </w:p>
    <w:p>
      <w:r>
        <w:rPr>
          <w:color w:val="555555"/>
          <w:sz w:val="18"/>
        </w:rPr>
        <w:t xml:space="preserve">Stand: 10.06.2019 (konsolidierte Textfassung, kein amtliches Inkrafttretensdatum)</w:t>
      </w:r>
    </w:p>
    <w:p>
      <w:r>
        <w:t xml:space="preserve">Das Gesetz dient dem Schutz des Kulturgutes Buch. Die Festsetzung verbindlicher Preise beim Verkauf an Letztabnehmer sichert den Erhalt eines breiten Buchangebots. Das Gesetz gewährleistet zugleich, dass dieses Angebot für eine breite Öffentlichkeit zugänglich ist, indem es die Existenz einer großen Zahl von Verkaufsstellen fördert.</w:t>
      </w:r>
    </w:p>
    <w:p>
      <w:r>
        <w:rPr>
          <w:color w:val="555555"/>
          <w:sz w:val="17"/>
        </w:rPr>
        <w:t xml:space="preserve">Zitiervorschlag: § 1 BuchPrG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https://recht.nulegal.eu/gesetze/BuchPrG/1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