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BuchBMstrV 2006</w:t>
      </w:r>
    </w:p>
    <w:p>
      <w:r>
        <w:rPr>
          <w:color w:val="555555"/>
          <w:sz w:val="18"/>
        </w:rPr>
        <w:t xml:space="preserve">Buchbindermeisterverordnung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Abs. 2 in Verbindung mit Abs. 1 der Handwerksordnung in der Fassung der Bekanntmachung vom 24. September 1998 (BGBl. I S. 3074), der durch Artikel 2 Nr. 24 des Gesetzes vom 23. März 2005 (BGBl. I S. 931) geändert worden ist, in Verbindung mit § 1 Abs. 2 des Zuständigkeitsanpassungsgesetzes vom 16. August 2002 (BGBl. I S. 3165) und dem Organisationserlass vom 22. November 2005 (BGBl. I S. 3197)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BuchBMstrV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https://recht.nulegal.eu/gesetze/BuchBMstrV%202006/eingangsformel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