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BuTMedienMstrBAProFV — Inhalte und Gliederung der Prüfung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„Betriebsmanagement“ nach § 4 und</w:t>
      </w:r>
    </w:p>
    <w:p>
      <w:pPr>
        <w:ind w:left="420"/>
      </w:pPr>
      <w:r>
        <w:t xml:space="preserve">2. „Projektmanagement“ nach § 7.</w:t>
      </w:r>
    </w:p>
    <w:p>
      <w:r>
        <w:rPr>
          <w:color w:val="555555"/>
          <w:sz w:val="17"/>
        </w:rPr>
        <w:t xml:space="preserve">Zitiervorschlag: § 3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