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BuTMedienMstrBAProFV — Zulassungsvoraussetzungen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Zur Prüfung ist zuzulassen, wer die Anforderungen des § 53c des Berufsbildungsgesetzes erfüllt und Folgendes nachweist:</w:t>
      </w:r>
    </w:p>
    <w:p>
      <w:pPr>
        <w:ind w:left="420"/>
      </w:pPr>
      <w:r>
        <w:t xml:space="preserve">1. eine erfolgreich abgelegte Abschlussprüfung</w:t>
      </w:r>
    </w:p>
    <w:p>
      <w:pPr>
        <w:ind w:left="780"/>
      </w:pPr>
      <w:r>
        <w:t xml:space="preserve">a) in dem anerkannten Ausbildungsberuf des Mediengestalters Bild und Ton und der Mediengestalterin Bild und Ton oder</w:t>
      </w:r>
    </w:p>
    <w:p>
      <w:pPr>
        <w:ind w:left="780"/>
      </w:pPr>
      <w:r>
        <w:t xml:space="preserve">b) in dem anerkannten Ausbildungsberuf des Film- und Videoeditors oder der Film- und Videoeditorin,</w:t>
      </w:r>
    </w:p>
    <w:p>
      <w:pPr>
        <w:ind w:left="420"/>
      </w:pPr>
      <w:r>
        <w:t xml:space="preserve">2. eine erfolgreich abgelegte Abschluss- oder Gesellenprüfung in einem anderen anerkannten gewerblich-technischen Ausbildungsberuf und eine auf die Berufsausbildung folgende einjährige Berufspraxis,</w:t>
      </w:r>
    </w:p>
    <w:p>
      <w:pPr>
        <w:ind w:left="420"/>
      </w:pPr>
      <w:r>
        <w:t xml:space="preserve">3. den Erwerb von mindestens 90 Leistungspunkten nach dem Europäischen System zur Übertragung und Akkumulierung von Studienleistungen in einem fachverwandten Studium und eine mindestens zweijährige Berufspraxis oder</w:t>
      </w:r>
    </w:p>
    <w:p>
      <w:pPr>
        <w:ind w:left="420"/>
      </w:pPr>
      <w:r>
        <w:t xml:space="preserve">4. eine mindestens fünfjährige Berufspraxis.</w:t>
      </w:r>
    </w:p>
    <w:p>
      <w:r>
        <w:t xml:space="preserve">(2) Die Berufspraxis nach Absatz 1 Nummer 2 bis 4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