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BuTMedienMstrBAProFV — Befreiung von einzelnen Prüfungsbestandteilen</w:t>
      </w:r>
    </w:p>
    <w:p>
      <w:r>
        <w:rPr>
          <w:color w:val="555555"/>
          <w:sz w:val="18"/>
        </w:rPr>
        <w:t xml:space="preserve">Bild-und-Ton-Medienproduktionsmeister-Bachelor-Professional-Fortbildungsverordnung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11 und 12 außer Betracht. Für die übrigen Prüfungsbestandteile erhöhen sich die Anteile nach § 11 Absatz 2 oder Absatz 3 oder § 12 Absatz 4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13 BuTMedienMstrBAProFV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https://recht.nulegal.eu/gesetze/BuTMedienMstrBAProFV/13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