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BuTMedAusbV — Gegenstand der Berufsausbildung und Ausbildungsrahmenplan</w:t>
      </w:r>
    </w:p>
    <w:p>
      <w:r>
        <w:rPr>
          <w:color w:val="555555"/>
          <w:sz w:val="18"/>
        </w:rPr>
        <w:t xml:space="preserve">Bild- und Ton-Mediengestalter-Ausbildungsverordnung</w:t>
      </w:r>
    </w:p>
    <w:p>
      <w:r>
        <w:rPr>
          <w:color w:val="555555"/>
          <w:sz w:val="18"/>
        </w:rPr>
        <w:t xml:space="preserve">Stand: 01.08.2020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BuTMedAusbV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