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BuTMedAusbV — Inkrafttreten, Außerkrafttreten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Diese Verordnung tritt am 1. August 2020 in Kraft. Gleichzeitig treten außer Kraft</w:t>
      </w:r>
    </w:p>
    <w:p>
      <w:pPr>
        <w:ind w:left="420"/>
      </w:pPr>
      <w:r>
        <w:t xml:space="preserve">1. die Verordnung über die Berufsausbildung zum Mediengestalter Bild und Ton/zur Mediengestalterin Bild und Ton vom 26. Mai 2006 (BGBl. I S. 1271) und</w:t>
      </w:r>
    </w:p>
    <w:p>
      <w:pPr>
        <w:ind w:left="420"/>
      </w:pPr>
      <w:r>
        <w:t xml:space="preserve">2. die Verordnung über die Berufsausbildung zum Film- und Videoeditor/zur Film- und Videoeditorin vom 29. Januar 1996 (BGBl. I S. 125).</w:t>
      </w:r>
    </w:p>
    <w:p>
      <w:r>
        <w:rPr>
          <w:color w:val="555555"/>
          <w:sz w:val="17"/>
        </w:rPr>
        <w:t xml:space="preserve">Zitiervorschlag: § 20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