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BuTMedAusbV — Gewichtung der Prüfungsbereiche und Anforderungen für das Bestehen der Abschlussprüfung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Realisieren eines Bild- und Tonproduktes    mit 30 Prozent,</w:t>
      </w:r>
    </w:p>
    <w:p>
      <w:r>
        <w:rPr>
          <w:rFonts w:ascii="Courier New" w:hAnsi="Courier New"/>
          <w:sz w:val="17"/>
        </w:rPr>
        <w:t xml:space="preserve">Wahlqualifikationen    mit 30 Prozent,</w:t>
      </w:r>
    </w:p>
    <w:p>
      <w:r>
        <w:rPr>
          <w:rFonts w:ascii="Courier New" w:hAnsi="Courier New"/>
          <w:sz w:val="17"/>
        </w:rPr>
        <w:t xml:space="preserve">Bild- und Tonproduktion    mit 30 Prozent sowie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4. (2) Die Abschlussprüfung ist bestanden, wenn die Prüfungsleistungen – auch unter Berücksichtigung einer mündlichen Ergänzungsprüfung nach § 19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drei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rPr>
          <w:color w:val="555555"/>
          <w:sz w:val="17"/>
        </w:rPr>
        <w:t xml:space="preserve">Zitiervorschlag: § 18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