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BuTMedAusbV — Prüfungsbereiche</w:t>
      </w:r>
    </w:p>
    <w:p>
      <w:r>
        <w:rPr>
          <w:color w:val="555555"/>
          <w:sz w:val="18"/>
        </w:rPr>
        <w:t xml:space="preserve">Bild- und Ton-Mediengestalter-Ausbildungsverordnung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Realisieren eines Bild- und Tonproduktes,</w:t>
      </w:r>
    </w:p>
    <w:p>
      <w:pPr>
        <w:ind w:left="420"/>
      </w:pPr>
      <w:r>
        <w:t xml:space="preserve">2. Wahlqualifikationen,</w:t>
      </w:r>
    </w:p>
    <w:p>
      <w:pPr>
        <w:ind w:left="420"/>
      </w:pPr>
      <w:r>
        <w:t xml:space="preserve">3. Bild- und Tonproduktion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13 BuTMedAusbV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