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BuTMedAusbV — Zeitpunkt</w:t>
      </w:r>
    </w:p>
    <w:p>
      <w:r>
        <w:rPr>
          <w:color w:val="555555"/>
          <w:sz w:val="18"/>
        </w:rPr>
        <w:t xml:space="preserve">Bild- und Ton-Mediengestalter-Ausbildungsverordnung</w:t>
      </w:r>
    </w:p>
    <w:p>
      <w:r>
        <w:rPr>
          <w:color w:val="555555"/>
          <w:sz w:val="18"/>
        </w:rPr>
        <w:t xml:space="preserve">Stand: 01.08.2020 (konsolidierte Textfassung, kein amtliches Inkrafttretensdatum)</w:t>
      </w:r>
    </w:p>
    <w:p>
      <w:r>
        <w:t xml:space="preserve">Die Abschlussprüfung findet am Ende der Berufsausbildung statt. Den Zeitpunkt legt die zuständige Stelle fest.</w:t>
      </w:r>
    </w:p>
    <w:p>
      <w:r>
        <w:rPr>
          <w:color w:val="555555"/>
          <w:sz w:val="17"/>
        </w:rPr>
        <w:t xml:space="preserve">Zitiervorschlag: § 11 BuTMedAusbV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https://recht.nulegal.eu/gesetze/BuTMedAusbV/11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