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BuTMedAusbV — Staatliche Anerkennung des Ausbildungsberufes</w:t>
      </w:r>
    </w:p>
    <w:p>
      <w:r>
        <w:rPr>
          <w:color w:val="555555"/>
          <w:sz w:val="18"/>
        </w:rPr>
        <w:t xml:space="preserve">Bild- und Ton-Mediengestalter-Ausbildungsverordnung</w:t>
      </w:r>
    </w:p>
    <w:p>
      <w:r>
        <w:rPr>
          <w:color w:val="555555"/>
          <w:sz w:val="18"/>
        </w:rPr>
        <w:t xml:space="preserve">Stand: 01.08.2020 (konsolidierte Textfassung, kein amtliches Inkrafttretensdatum)</w:t>
      </w:r>
    </w:p>
    <w:p>
      <w:r>
        <w:t xml:space="preserve">Der Ausbildungsberuf des Mediengestalters Bild und Ton und der Mediengestalterin Bild und Ton wird nach § 4 Absatz 1 des Berufsbildungsgesetzes staatlich anerkannt.</w:t>
      </w:r>
    </w:p>
    <w:p>
      <w:r>
        <w:rPr>
          <w:color w:val="555555"/>
          <w:sz w:val="17"/>
        </w:rPr>
        <w:t xml:space="preserve">Zitiervorschlag: § 1 BuTMedAusbV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https://recht.nulegal.eu/gesetze/BuTMedAusbV/1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