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BtRegV</w:t>
      </w:r>
    </w:p>
    <w:p>
      <w:r>
        <w:rPr>
          <w:color w:val="555555"/>
          <w:sz w:val="18"/>
        </w:rPr>
        <w:t xml:space="preserve">Betreuerregistrierungsverordnung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Auf Grund des § 23 Absatz 4 und des § 24 Absatz 4 des Betreuungsorganisationsgesetzes, von denen § 23 Absatz 4 durch Artikel 6 Nummer 1 Buchstabe b des Gesetzes vom 24. Juni 2022 (BGBl. I S. 959) neu gefasst und § 24 Absatz 4 durch Artikel 6 Nummer 2 des Gesetzes vom 24. Juni 2022 (BGBl. I S. 959) geändert worden ist, verordnet das Bundesministerium der Justiz:</w:t>
      </w:r>
    </w:p>
    <w:p>
      <w:r>
        <w:rPr>
          <w:color w:val="555555"/>
          <w:sz w:val="17"/>
        </w:rPr>
        <w:t xml:space="preserve">Zitiervorschlag: Eingangsformel BtRegV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https://recht.nulegal.eu/gesetze/BtRegV/eingangsformel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