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BtRegV — Anerkennung von Sachkundelehrgängen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 Sachkundelehrgang ist auf Antrag des Anbieters von der nach Landesrecht zuständigen Behörde anzuerkennen, wenn</w:t>
      </w:r>
    </w:p>
    <w:p>
      <w:pPr>
        <w:ind w:left="420"/>
      </w:pPr>
      <w:r>
        <w:t xml:space="preserve">1. der Sachkundelehrgang die Voraussetzungen des § 6 Absatz 2 erfüllt,</w:t>
      </w:r>
    </w:p>
    <w:p>
      <w:pPr>
        <w:ind w:left="420"/>
      </w:pPr>
      <w:r>
        <w:t xml:space="preserve">2. der Anbieter für die Vermittlung der in der Anlage vorgesehenen Inhalte Lehrkräfte einsetzt, die</w:t>
      </w:r>
    </w:p>
    <w:p>
      <w:pPr>
        <w:ind w:left="780"/>
      </w:pPr>
      <w:r>
        <w:t xml:space="preserve">a) über einen Abschluss eines Hochschulstudiums oder einer Berufsausbildung verfügen und</w:t>
      </w:r>
    </w:p>
    <w:p>
      <w:pPr>
        <w:ind w:left="780"/>
      </w:pPr>
      <w:r>
        <w:t xml:space="preserve">b) über die jeweils erforderlichen fachlichen Kenntnisse verfügen, um die in der Anlage aufgeführten Inhalte, für die sie jeweils eingesetzt werden, zu vermitteln,</w:t>
      </w:r>
    </w:p>
    <w:p>
      <w:pPr>
        <w:ind w:left="420"/>
      </w:pPr>
      <w:r>
        <w:t xml:space="preserve">3. der Anbieter die Gewähr für eine ordnungsgemäße Durchführung des Lehrbetriebs und des Prüfungsverfahrens bietet,</w:t>
      </w:r>
    </w:p>
    <w:p>
      <w:pPr>
        <w:ind w:left="420"/>
      </w:pPr>
      <w:r>
        <w:t xml:space="preserve">4. der Anbieter eine Prüfungsordnung zur Gewährleistung eines transparenten und nachprüfbaren Verfahrens für die Durchführung der Modulprüfungen nachweist,</w:t>
      </w:r>
    </w:p>
    <w:p>
      <w:pPr>
        <w:ind w:left="420"/>
      </w:pPr>
      <w:r>
        <w:t xml:space="preserve">5. der Anbieter eine Finanzierungsplanung für den Sachkundelehrgang vorlegt, die den Bestand des Lehrgangs für die Dauer der Anerkennung finanziell gesichert erscheinen lässt, und</w:t>
      </w:r>
    </w:p>
    <w:p>
      <w:pPr>
        <w:ind w:left="420"/>
      </w:pPr>
      <w:r>
        <w:t xml:space="preserve">6. der Anbieter die teilnehmerbezogenen Lehrgangskosten nachvollziehbar darlegt.</w:t>
      </w:r>
    </w:p>
    <w:p>
      <w:r>
        <w:t xml:space="preserve">Für die Anerkennung örtlich zuständig ist die nach Landesrecht bestimmte Behörde, in deren Zuständigkeitsbereich sich der Hauptsitz des Anbieters befindet.</w:t>
      </w:r>
    </w:p>
    <w:p>
      <w:r>
        <w:t xml:space="preserve">(2) Die Anerkennung gilt bundesweit. Sie ist auf fünf Jahre befristet. Die Anerkennung kann auch nachträglich mit Nebenbestimmungen verbunden werden.</w:t>
      </w:r>
    </w:p>
    <w:p>
      <w:r>
        <w:t xml:space="preserve">(3) Die Anerkennung ist unbeschadet der landesrechtlichen Vorschriften, die § 48 des Verwaltungsverfahrensgesetzes entsprechen, zurückzunehmen, wenn der Anbieter die Anerkennung wie folgt erwirkt hat:</w:t>
      </w:r>
    </w:p>
    <w:p>
      <w:pPr>
        <w:ind w:left="420"/>
      </w:pPr>
      <w:r>
        <w:t xml:space="preserve">1. durch arglistige Täuschung, Drohung oder Bestechung oder</w:t>
      </w:r>
    </w:p>
    <w:p>
      <w:pPr>
        <w:ind w:left="420"/>
      </w:pPr>
      <w:r>
        <w:t xml:space="preserve">2. vorsätzlich oder grob fahrlässig durch Angaben, die im Wesentlichen unrichtig oder unvollständig waren.</w:t>
      </w:r>
    </w:p>
    <w:p>
      <w:r>
        <w:t xml:space="preserve">Die Rücknahme hat keine Auswirkungen auf vor ihrer Bestandskraft erteilte Abschlusszeugnisse.</w:t>
      </w:r>
    </w:p>
    <w:p>
      <w:r>
        <w:t xml:space="preserve">(4) Die Anerkennung ist unbeschadet der landesrechtlichen Vorschriften, die § 49 des Verwaltungsverfahrensgesetzes entsprechen, zu widerrufen, wenn der Anbieter die Voraussetzungen nach Absatz 1 ganz oder teilweise nicht mehr erfüllt.</w:t>
      </w:r>
    </w:p>
    <w:p>
      <w:r>
        <w:t xml:space="preserve">(5) Die Anerkennung wird auf Antrag um jeweils fünf Jahre verlängert, wenn die Voraussetzungen des Absatzes 1 weiter vorliegen.</w:t>
      </w:r>
    </w:p>
    <w:p>
      <w:r>
        <w:t xml:space="preserve">(6) Die Absätze 1 bis 5 gelten entsprechend für die Anerkennung einzelner in der Anlage aufgeführter Module.</w:t>
      </w:r>
    </w:p>
    <w:p>
      <w:r>
        <w:rPr>
          <w:color w:val="555555"/>
          <w:sz w:val="17"/>
        </w:rPr>
        <w:t xml:space="preserve">Zitiervorschlag: § 8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