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BtRegV — Nachweis der Sachkunde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erforderliche Sachkunde ist wie folgt nachzuweisen:</w:t>
      </w:r>
    </w:p>
    <w:p>
      <w:pPr>
        <w:ind w:left="420"/>
      </w:pPr>
      <w:r>
        <w:t xml:space="preserve">1. durch ein Zeugnis über den erfolgreichen Abschluss eines anerkannten Studien-, Aus- oder Weiterbildungsgangs nach § 5,</w:t>
      </w:r>
    </w:p>
    <w:p>
      <w:pPr>
        <w:ind w:left="420"/>
      </w:pPr>
      <w:r>
        <w:t xml:space="preserve">2. durch ein Zeugnis über den erfolgreichen Abschluss eines anerkannten Sachkundelehrgangs nach § 6 oder</w:t>
      </w:r>
    </w:p>
    <w:p>
      <w:pPr>
        <w:ind w:left="420"/>
      </w:pPr>
      <w:r>
        <w:t xml:space="preserve">3. durch anderweitige Nachweise nach § 7.</w:t>
      </w:r>
    </w:p>
    <w:p>
      <w:r>
        <w:rPr>
          <w:color w:val="555555"/>
          <w:sz w:val="17"/>
        </w:rPr>
        <w:t xml:space="preserve">Zitiervorschlag: § 4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