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BtRegV — Inkrafttreten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16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