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BtRegV — Aufbewahrungsfrist</w:t>
      </w:r>
    </w:p>
    <w:p>
      <w:r>
        <w:rPr>
          <w:color w:val="555555"/>
          <w:sz w:val="18"/>
        </w:rPr>
        <w:t xml:space="preserve">Betreuerregistrierungsverordnung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Folgende Akten und elektronische Akten sind für einen Zeitraum von zehn Jahren nach der Beendigung des Verfahrens aufzubewahren:</w:t>
      </w:r>
    </w:p>
    <w:p>
      <w:pPr>
        <w:ind w:left="420"/>
      </w:pPr>
      <w:r>
        <w:t xml:space="preserve">1. Akten, in denen eine beantragte Registrierung bestandskräftig abgelehnt worden ist, und</w:t>
      </w:r>
    </w:p>
    <w:p>
      <w:pPr>
        <w:ind w:left="420"/>
      </w:pPr>
      <w:r>
        <w:t xml:space="preserve">2. Akten, in denen eine Registrierung bestandskräftig widerrufen oder zurückgenommen worden ist.</w:t>
      </w:r>
    </w:p>
    <w:p>
      <w:r>
        <w:rPr>
          <w:color w:val="555555"/>
          <w:sz w:val="17"/>
        </w:rPr>
        <w:t xml:space="preserve">Zitiervorschlag: § 14 BtRegV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https://recht.nulegal.eu/gesetze/BtRegV/14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