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BtRegV — Registrierungsverfahren</w:t>
      </w:r>
    </w:p>
    <w:p>
      <w:r>
        <w:rPr>
          <w:color w:val="555555"/>
          <w:sz w:val="18"/>
        </w:rPr>
        <w:t xml:space="preserve">Betreuerregistrierungsverordnung</w:t>
      </w:r>
    </w:p>
    <w:p>
      <w:r>
        <w:rPr>
          <w:color w:val="555555"/>
          <w:sz w:val="18"/>
        </w:rPr>
        <w:t xml:space="preserve">Stand: 01.01.2023 (konsolidierte Textfassung, kein amtliches Inkrafttretensdatum)</w:t>
      </w:r>
    </w:p>
    <w:p>
      <w:r>
        <w:t xml:space="preserve">(1) Anträge nach § 24 Absatz 1 Satz 1 des Betreuungsorganisationsgesetzes sind in Textform zu stellen.</w:t>
      </w:r>
    </w:p>
    <w:p>
      <w:r>
        <w:t xml:space="preserve">(2) Ist der Antragsteller oder der registrierte berufliche Betreuer Mitarbeiter eines nach § 14 des Betreuungsorganisationsgesetzes anerkannten Betreuungsvereins, teilt die Stammbehörde Entscheidungen, die diesen betreffen, auch dem Betreuungsverein mit. Der Betreuungsverein teilt der Stammbehörde das Ausscheiden eines als beruflicher Betreuer tätigen Mitarbeiters aus dem Beschäftigungsverhältnis unverzüglich mit.</w:t>
      </w:r>
    </w:p>
    <w:p>
      <w:r>
        <w:t xml:space="preserve">(3) Von Zeugnissen und Nachweisen, die nicht in deutscher Sprache ausgestellt sind, kann die Vorlage einer Übersetzung in die deutsche Sprache verlangt werden.</w:t>
      </w:r>
    </w:p>
    <w:p>
      <w:r>
        <w:rPr>
          <w:color w:val="555555"/>
          <w:sz w:val="17"/>
        </w:rPr>
        <w:t xml:space="preserve">Zitiervorschlag: § 13 BtRegV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https://recht.nulegal.eu/gesetze/BtRegV/13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