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BtRegV — Anwendungsbereich</w:t>
      </w:r>
    </w:p>
    <w:p>
      <w:r>
        <w:rPr>
          <w:color w:val="555555"/>
          <w:sz w:val="18"/>
        </w:rPr>
        <w:t xml:space="preserve">Betreuerregistrierungsverordnung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Diese Verordnung dient der Sicherung der Qualität in der rechtlichen Betreuung und soll gewährleisten, dass berufliche Betreuer befähigt sind, ihre Aufgabe gegenüber den von ihnen betreuten Menschen verantwortungsvoll auszuüben.</w:t>
      </w:r>
    </w:p>
    <w:p>
      <w:r>
        <w:t xml:space="preserve">(2) Diese Verordnung regelt die Einzelheiten</w:t>
      </w:r>
    </w:p>
    <w:p>
      <w:pPr>
        <w:ind w:left="420"/>
      </w:pPr>
      <w:r>
        <w:t xml:space="preserve">1. der nach § 23 Absatz 1 Nummer 1 des Betreuungsorganisationsgesetzes für die Registrierung als beruflicher Betreuer erforderlichen persönlichen Eignung,</w:t>
      </w:r>
    </w:p>
    <w:p>
      <w:pPr>
        <w:ind w:left="420"/>
      </w:pPr>
      <w:r>
        <w:t xml:space="preserve">2. der nach § 23 Absatz 1 Nummer 2 des Betreuungsorganisationsgesetzes für die Registrierung als beruflicher Betreuer erforderlichen Sachkunde sowie ihren Nachweis,</w:t>
      </w:r>
    </w:p>
    <w:p>
      <w:pPr>
        <w:ind w:left="420"/>
      </w:pPr>
      <w:r>
        <w:t xml:space="preserve">3. der Anforderungen an einen Sachkundelehrgang und dessen Anerkennung,</w:t>
      </w:r>
    </w:p>
    <w:p>
      <w:pPr>
        <w:ind w:left="420"/>
      </w:pPr>
      <w:r>
        <w:t xml:space="preserve">4. der Anerkennung ausländischer Berufsqualifikationen und</w:t>
      </w:r>
    </w:p>
    <w:p>
      <w:pPr>
        <w:ind w:left="420"/>
      </w:pPr>
      <w:r>
        <w:t xml:space="preserve">5. des Registrierungsverfahrens.</w:t>
      </w:r>
    </w:p>
    <w:p>
      <w:r>
        <w:rPr>
          <w:color w:val="555555"/>
          <w:sz w:val="17"/>
        </w:rPr>
        <w:t xml:space="preserve">Zitiervorschlag: § 1 BtRegV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https://recht.nulegal.eu/gesetze/BtRegV/1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