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BtOG — Mitteilungen an das Betreuungsgericht und die Stammbehörde</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Behörde kann dem zuständigen Betreuungsgericht Umstände mitteilen, die die Bestellung eines Betreuers oder eine andere Maßnahme in Betreuungssachen erforderlich machen, soweit dies unter Beachtung der berechtigten Interessen des Betroffenen nach den Erkenntnissen der Behörde erforderlich ist, um eine erhebliche Gefahr im Sinne des § 1821 Absatz 3 Nummer 1 des Bürgerlichen Gesetzbuchs von dem Betroffenen abzuwenden.</w:t>
      </w:r>
    </w:p>
    <w:p>
      <w:r>
        <w:t xml:space="preserve">(2) Hat die Behörde Kenntnis von Umständen, die an der Eignung eines Betreuers nach § 1816 Absatz 1 des Bürgerlichen Gesetzbuchs im Rahmen einer von ihm geführten Betreuung Zweifel aufkommen lassen, hat sie das für das Betreuungsverfahren zuständige Betreuungsgericht und die zuständige Stammbehörde hierüber zu informieren. Die Behörde unterrichtet zugleich den Betreuer über die Mitteilung und deren Inhalt. Die Unterrichtung des Betreuers unterbleibt, solange der Zweck der Mitteilung hierdurch gefährdet würde. Sie ist nachzuholen, sobald die Gründe nach Satz 3 entfallen sind.</w:t>
      </w:r>
    </w:p>
    <w:p>
      <w:r>
        <w:t xml:space="preserve">(3) Der Inhalt der Mitteilungen nach den Absätzen 1 und 2, die Art und Weise ihrer Übermittlung und der Empfänger sind aktenkundig zu machen.</w:t>
      </w:r>
    </w:p>
    <w:p>
      <w:r>
        <w:rPr>
          <w:color w:val="555555"/>
          <w:sz w:val="17"/>
        </w:rPr>
        <w:t xml:space="preserve">Zitiervorschlag: § 9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