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BtOG — Förderungsaufgaben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Die Behörde sorgt dafür, dass in ihrem Zuständigkeitsbereich ein ausreichendes Angebot zur Einführung der Betreuer und der Bevollmächtigten in ihre Aufgaben und zu ihrer Fortbildung vorhanden ist.</w:t>
      </w:r>
    </w:p>
    <w:p>
      <w:r>
        <w:t xml:space="preserve">(2) Die Behörde regt die Tätigkeit einzelner Personen sowie von gemeinnützigen und freien Organisationen zugunsten Betreuungsbedürftiger an und fördert diese.</w:t>
      </w:r>
    </w:p>
    <w:p>
      <w:r>
        <w:t xml:space="preserve">(3) Die Behörde fördert die Aufklärung und Beratung über Vorsorgevollmachten, Betreuungsverfügungen und Patientenverfügungen.</w:t>
      </w:r>
    </w:p>
    <w:p>
      <w:r>
        <w:rPr>
          <w:color w:val="555555"/>
          <w:sz w:val="17"/>
        </w:rPr>
        <w:t xml:space="preserve">Zitiervorschlag: § 6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