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BtOG — Vorläufige Registrierung</w:t>
      </w:r>
    </w:p>
    <w:p>
      <w:r>
        <w:rPr>
          <w:color w:val="555555"/>
          <w:sz w:val="18"/>
        </w:rPr>
        <w:t xml:space="preserve">Betreuungsorganisationsgesetz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Antragsteller, die die Voraussetzungen für eine Registrierung nach § 23 Absatz 1 Nummer 1 und 3 erfüllen, kann die zuständige Stammbehörde vorläufig registrieren, wenn sie</w:t>
      </w:r>
    </w:p>
    <w:p>
      <w:pPr>
        <w:ind w:left="420"/>
      </w:pPr>
      <w:r>
        <w:t xml:space="preserve">1. die nach § 23 Absatz 1 Nummer 2 erforderliche Sachkunde teilweise nachweisen können und</w:t>
      </w:r>
    </w:p>
    <w:p>
      <w:pPr>
        <w:ind w:left="420"/>
      </w:pPr>
      <w:r>
        <w:t xml:space="preserve">2. den vollständigen Nachweis der Sachkunde nach § 24 Absatz 1 Satz 2 Nummer 5 nur noch nicht erbringen können, weil die hierfür notwendigen Studien-, Aus- oder Weiterbildungsangebote nicht verfügbar sind.</w:t>
      </w:r>
    </w:p>
    <w:p>
      <w:r>
        <w:t xml:space="preserve">Mit der vorläufigen Registrierung werden die Antragsteller berufliche Betreuer. Die vorläufige Registrierung endet spätestens mit Ablauf des 30. Juni 2025. § 27 Absatz 4 Satz 2 gilt entsprechend.</w:t>
      </w:r>
    </w:p>
    <w:p>
      <w:r>
        <w:rPr>
          <w:color w:val="555555"/>
          <w:sz w:val="17"/>
        </w:rPr>
        <w:t xml:space="preserve">Zitiervorschlag: § 33 BtOG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https://recht.nulegal.eu/gesetze/BtOG/33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