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BtOG — Beratung und Übermittlung von Informationen durch Geheimnisträger bei Gefährdung von Betreuten</w:t>
      </w:r>
    </w:p>
    <w:p>
      <w:r>
        <w:rPr>
          <w:color w:val="555555"/>
          <w:sz w:val="18"/>
        </w:rPr>
        <w:t xml:space="preserve">Betreuungsorganisationsgesetz</w:t>
      </w:r>
    </w:p>
    <w:p>
      <w:r>
        <w:rPr>
          <w:color w:val="555555"/>
          <w:sz w:val="18"/>
        </w:rPr>
        <w:t xml:space="preserve">Stand: 07.07.2022 (konsolidierte Textfassung, kein amtliches Inkrafttretensdatum)</w:t>
      </w:r>
    </w:p>
    <w:p>
      <w:r>
        <w:t xml:space="preserve">(1) Werden</w:t>
      </w:r>
    </w:p>
    <w:p>
      <w:pPr>
        <w:ind w:left="420"/>
      </w:pPr>
      <w:r>
        <w:t xml:space="preserve">1. Ärzten oder Angehörigen eines anderen Heilberufes, der für die Berufsausübung oder die Führung der Berufsbezeichnung eine staatlich geregelte Ausbildung erfordert,</w:t>
      </w:r>
    </w:p>
    <w:p>
      <w:pPr>
        <w:ind w:left="420"/>
      </w:pPr>
      <w:r>
        <w:t xml:space="preserve">2. Berufspsychologen mit staatlich anerkannter wissenschaftlicher Abschlussprüfung,</w:t>
      </w:r>
    </w:p>
    <w:p>
      <w:pPr>
        <w:ind w:left="420"/>
      </w:pPr>
      <w:r>
        <w:t xml:space="preserve">3. Beratern für Suchtfragen in einer Beratungsstelle, die von einer Behörde oder Körperschaft, Anstalt oder Stiftung des öffentlichen Rechts anerkannt ist, oder</w:t>
      </w:r>
    </w:p>
    <w:p>
      <w:pPr>
        <w:ind w:left="420"/>
      </w:pPr>
      <w:r>
        <w:t xml:space="preserve">4. staatlich anerkannten Sozialarbeitern oder staatlich anerkannten Sozialpädagogen</w:t>
      </w:r>
    </w:p>
    <w:p>
      <w:r>
        <w:t xml:space="preserve">in Ausübung ihrer beruflichen Tätigkeit gewichtige Anhaltspunkte für eine Gefährdung der Person des Betreuten bekannt, so sollen sie dies mit diesem und dem Betreuer erörtern und, soweit erforderlich, auf die Inanspruchnahme von Hilfen hinwirken, soweit hierdurch der wirksame Schutz des Betreuten nicht in Frage gestellt wird.</w:t>
      </w:r>
    </w:p>
    <w:p>
      <w:r>
        <w:t xml:space="preserve">(2) Die in Absatz 1 Nummer 1 bis 4 genannten Personen haben gegenüber der Betreuungsbehörde zur Einschätzung einer Gefährdung der Person des Betreuten Anspruch auf Beratung durch eine Fachkraft. Sie sind zu diesem Zweck befugt, dieser Fachkraft die zur Einschätzung einer Gefährdung erforderlichen Daten zu übermitteln; vor der Übermittlung sind diese Daten zu pseudonymisieren.</w:t>
      </w:r>
    </w:p>
    <w:p>
      <w:r>
        <w:t xml:space="preserve">(3) Kann eine Gefährdung des Betreuten durch eine Erörterung nach Absatz 1 nicht abgewendet werden oder ist die Erörterung erfolglos geblieben und halten die in Absatz 1 Nummer 1 bis 4 genannten Personen ein Tätigwerden des Betreuungsgerichts für erforderlich, um eine Gefährdung der Person des Betreuten abzuwenden, so sind sie befugt, das Betreuungsgericht zu informieren. Auf die Möglichkeit einer solchen Information ist der Betreuer vorab hinzuweisen, es sei denn, dass damit der wirksame Schutz des Betreuten in Frage gestellt wird. Zum Zweck der Information des Betreuungsgerichts sind die in Absatz 1 Nummer 1 bis 4 genannten Personen befugt, diesem die erforderlichen Daten zu übermitteln.</w:t>
      </w:r>
    </w:p>
    <w:p>
      <w:r>
        <w:rPr>
          <w:color w:val="555555"/>
          <w:sz w:val="17"/>
        </w:rPr>
        <w:t xml:space="preserve">Zitiervorschlag: § 31 BtOG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https://recht.nulegal.eu/gesetze/BtOG/31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