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BtOG — Widerruf, Rücknahme und Löschung der Registrierung</w:t>
      </w:r>
    </w:p>
    <w:p>
      <w:r>
        <w:rPr>
          <w:color w:val="555555"/>
          <w:sz w:val="18"/>
        </w:rPr>
        <w:t xml:space="preserve">Betreuungsorganisationsgesetz</w:t>
      </w:r>
    </w:p>
    <w:p>
      <w:r>
        <w:rPr>
          <w:color w:val="555555"/>
          <w:sz w:val="18"/>
        </w:rPr>
        <w:t xml:space="preserve">Stand: 01.01.2023 (konsolidierte Textfassung, kein amtliches Inkrafttretensdatum)</w:t>
      </w:r>
    </w:p>
    <w:p>
      <w:r>
        <w:t xml:space="preserve">(1) Die Stammbehörde widerruft die Registrierung unbeschadet der landesrechtlichen Vorschriften, die § 49 des Verwaltungsverfahrensgesetzes entsprechen, wenn</w:t>
      </w:r>
    </w:p>
    <w:p>
      <w:pPr>
        <w:ind w:left="420"/>
      </w:pPr>
      <w:r>
        <w:t xml:space="preserve">1. begründete Tatsachen die Annahme rechtfertigen, dass der berufliche Betreuer die persönliche Eignung oder Zuverlässigkeit nicht mehr besitzt; dies ist in der Regel der Fall, wenn einer der in § 23 Absatz 2 genannten Gründe nachträglich eintritt, der berufliche Betreuer gegen das Verbot nach § 30 oder beharrlich gegen die Pflichten nach § 25 verstößt,</w:t>
      </w:r>
    </w:p>
    <w:p>
      <w:pPr>
        <w:ind w:left="420"/>
      </w:pPr>
      <w:r>
        <w:t xml:space="preserve">2. der berufliche Betreuer keine Berufshaftpflichtversicherung nach § 23 Absatz 1 Nummer 3 mehr unterhält,</w:t>
      </w:r>
    </w:p>
    <w:p>
      <w:pPr>
        <w:ind w:left="420"/>
      </w:pPr>
      <w:r>
        <w:t xml:space="preserve">3. begründete Tatsachen die Annahme rechtfertigen, dass der berufliche Betreuer die Betreuungen dauerhaft unqualifiziert führt; dies ist in der Regel der Fall, wenn der berufliche Betreuer mehrfach wegen fehlender Eignung aus dem Betreuerverhältnis entlassen worden ist, oder</w:t>
      </w:r>
    </w:p>
    <w:p>
      <w:pPr>
        <w:ind w:left="420"/>
      </w:pPr>
      <w:r>
        <w:t xml:space="preserve">4. der als Mitarbeiter eines nach § 14 anerkannten Betreuungsvereins registrierte berufliche Betreuer den vollständigen Nachweis seiner Sachkunde nicht bis zum Ablauf eines Jahres ab Registrierung oder bis zum Ablauf der verlängerten Frist erbringt (§ 23 Absatz 4 Satz 2 und 3).</w:t>
      </w:r>
    </w:p>
    <w:p>
      <w:r>
        <w:t xml:space="preserve">(2) Hat der berufliche Betreuer im Registrierungsantrag in wesentlichen Punkten vorsätzlich unrichtige Angaben gemacht oder für die Registrierung relevante Umstände pflichtwidrig verschwiegen und beruht die Registrierung auf diesen Angaben, hat die Stammbehörde die Registrierung unbeschadet der landesrechtlichen Vorschriften, die § 48 des Verwaltungsverfahrensgesetzes entsprechen, zurückzunehmen.</w:t>
      </w:r>
    </w:p>
    <w:p>
      <w:r>
        <w:t xml:space="preserve">(3) Auf Antrag des beruflichen Betreuers oder nach seinem Tod hat die Stammbehörde seine Registrierung zu löschen.</w:t>
      </w:r>
    </w:p>
    <w:p>
      <w:r>
        <w:t xml:space="preserve">(4) Der Widerruf, die Rücknahme oder die Löschung der Registrierung gelten bundesweit. Den Widerruf, die Rücknahme oder die Löschung der Registrierung hat die Stammbehörde sämtlichen Betreuungsgerichten, bei welchen der berufliche Betreuer Betreuungen führt, sowie den jeweils für den Gerichtsbezirk zuständigen Betreuungsbehörden mitzuteilen.</w:t>
      </w:r>
    </w:p>
    <w:p>
      <w:r>
        <w:rPr>
          <w:color w:val="555555"/>
          <w:sz w:val="17"/>
        </w:rPr>
        <w:t xml:space="preserve">Zitiervorschlag: § 27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