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BtOG — Registrierungsvoraussetzungen; Verordnungsermächtigung</w:t>
      </w:r>
    </w:p>
    <w:p>
      <w:r>
        <w:rPr>
          <w:color w:val="555555"/>
          <w:sz w:val="18"/>
        </w:rPr>
        <w:t xml:space="preserve">Betreuungsorganisationsgesetz</w:t>
      </w:r>
    </w:p>
    <w:p>
      <w:r>
        <w:rPr>
          <w:color w:val="555555"/>
          <w:sz w:val="18"/>
        </w:rPr>
        <w:t xml:space="preserve">Stand: 01.01.2023 (konsolidierte Textfassung, kein amtliches Inkrafttretensdatum)</w:t>
      </w:r>
    </w:p>
    <w:p>
      <w:r>
        <w:t xml:space="preserve">(1) Voraussetzungen für eine Registrierung als beruflicher Betreuer sind:</w:t>
      </w:r>
    </w:p>
    <w:p>
      <w:pPr>
        <w:ind w:left="420"/>
      </w:pPr>
      <w:r>
        <w:t xml:space="preserve">1. die persönliche Eignung und Zuverlässigkeit,</w:t>
      </w:r>
    </w:p>
    <w:p>
      <w:pPr>
        <w:ind w:left="420"/>
      </w:pPr>
      <w:r>
        <w:t xml:space="preserve">2. eine ausreichende Sachkunde für die Tätigkeit als beruflicher Betreuer und</w:t>
      </w:r>
    </w:p>
    <w:p>
      <w:pPr>
        <w:ind w:left="420"/>
      </w:pPr>
      <w:r>
        <w:t xml:space="preserve">3. eine Berufshaftpflichtversicherung zur Deckung der sich aus der Berufstätigkeit ergebenden Haftpflichtgefahren für Vermögensschäden mit einer Mindestversicherungssumme von 250 000 Euro für jeden Versicherungsfall und von 1 Million Euro für alle Versicherungsfälle eines Versicherungsjahres.</w:t>
      </w:r>
    </w:p>
    <w:p>
      <w:r>
        <w:t xml:space="preserve">(2) Die nach Absatz 1 Nummer 1 erforderliche Zuverlässigkeit fehlt in der Regel, wenn</w:t>
      </w:r>
    </w:p>
    <w:p>
      <w:pPr>
        <w:ind w:left="420"/>
      </w:pPr>
      <w:r>
        <w:t xml:space="preserve">1. die Person hinsichtlich der Tätigkeit als beruflicher Betreuer einem Berufsverbot nach § 70 des Strafgesetzbuchs oder einem vorläufigen Berufsverbot nach § 132a der Strafprozessordnung unterliegt,</w:t>
      </w:r>
    </w:p>
    <w:p>
      <w:pPr>
        <w:ind w:left="420"/>
      </w:pPr>
      <w:r>
        <w:t xml:space="preserve">2. die Person in den letzten drei Jahren vor Stellung des Registrierungsantrags wegen eines Verbrechens oder eines vorsätzlich begangenen, für die Führung einer Betreuung relevanten Vergehens rechtskräftig verurteilt worden ist,</w:t>
      </w:r>
    </w:p>
    <w:p>
      <w:pPr>
        <w:ind w:left="420"/>
      </w:pPr>
      <w:r>
        <w:t xml:space="preserve">3. in den letzten drei Jahren vor der Antragstellung eine Registrierung nach § 27 widerrufen worden ist oder</w:t>
      </w:r>
    </w:p>
    <w:p>
      <w:pPr>
        <w:ind w:left="420"/>
      </w:pPr>
      <w:r>
        <w:t xml:space="preserve">4. die Vermögensverhältnisse der Person ungeordnet sind, was in der Regel der Fall ist, wenn über das Vermögen der Person das Insolvenzverfahren eröffnet worden oder sie in das vom zentralen Vollstreckungsgericht zu führende Schuldnerverzeichnis (§ 882b der Zivilprozessordnung) eingetragen ist.</w:t>
      </w:r>
    </w:p>
    <w:p>
      <w:r>
        <w:t xml:space="preserve">(3) Die nach Absatz 1 Nummer 2 erforderliche Sachkunde ist gegenüber der Stammbehörde durch Unterlagen nachzuweisen. Sie hat zu umfassen:</w:t>
      </w:r>
    </w:p>
    <w:p>
      <w:pPr>
        <w:ind w:left="420"/>
      </w:pPr>
      <w:r>
        <w:t xml:space="preserve">1. Kenntnisse des Betreuungs- und Unterbringungsrechts, des dazugehörigen Verfahrensrechts sowie auf den Gebieten der Personen- und Vermögenssorge,</w:t>
      </w:r>
    </w:p>
    <w:p>
      <w:pPr>
        <w:ind w:left="420"/>
      </w:pPr>
      <w:r>
        <w:t xml:space="preserve">2. Kenntnisse des sozialrechtlichen Unterstützungssystems und</w:t>
      </w:r>
    </w:p>
    <w:p>
      <w:pPr>
        <w:ind w:left="420"/>
      </w:pPr>
      <w:r>
        <w:t xml:space="preserve">3. Kenntnisse der Kommunikation mit Personen mit Erkrankungen und Behinderungen und von Methoden zur Unterstützung bei der Entscheidungsfindung.</w:t>
      </w:r>
    </w:p>
    <w:p>
      <w:r>
        <w:t xml:space="preserve">(4) Ist die Person, die eine Registrierung als beruflicher Betreuer beantragt, Mitarbeiter eines nach § 14 anerkannten Betreuungsvereins oder legt sie eine Anstellungszusage eines anerkannten Betreuungsvereins vor und kann sie zum Zeitpunkt der Antragstellung das Vorliegen der Sachkunde nicht vollständig, aber in wesentlichen Teilen nachweisen, kann die Stammbehörde die Person als beruflicher Betreuer registrieren, wenn</w:t>
      </w:r>
    </w:p>
    <w:p>
      <w:pPr>
        <w:ind w:left="420"/>
      </w:pPr>
      <w:r>
        <w:t xml:space="preserve">1. die Voraussetzungen für die Registrierung nach Absatz 1 Nummer 1 und 3 vorliegen und</w:t>
      </w:r>
    </w:p>
    <w:p>
      <w:pPr>
        <w:ind w:left="420"/>
      </w:pPr>
      <w:r>
        <w:t xml:space="preserve">2. der Betreuungsverein sicherstellt, dass die Person bis zum vollständigen Nachweis ihrer Sachkunde durch einen Mitarbeiter, der als beruflicher Betreuer registriert ist, bei den von ihr geführten Betreuungen angeleitet und kontrolliert wird.</w:t>
      </w:r>
    </w:p>
    <w:p>
      <w:r>
        <w:t xml:space="preserve">Die Sachkunde ist gegenüber der Stammbehörde bis zum Ablauf eines Jahres ab Registrierung vollständig nachzuweisen. Die Behörde kann die Frist für die Erbringung des Nachweises verlängern, wenn die registrierte Person nachweist, dass sie ohne ihr Verschulden verhindert ist, die Frist einzuhalten.</w:t>
      </w:r>
    </w:p>
    <w:p>
      <w:r>
        <w:t xml:space="preserve">(5) Das Bundesministerium der Justiz bestimmt durch Rechtsverordnung mit Zustimmung des Bundesrates Einzelheiten zu den Voraussetzungen der Registrierung nach den Absätzen 1 bis 4, insbesondere die Anforderungen an die Sachkunde und ihren Nachweis einschließlich der Anerkennung und Zertifizierung von Anbietern von Sachkundelehrgängen und betreuungsspezifischen Studien-, Aus- oder Weiterbildungsgängen, an die Anerkennung ausländischer Berufsqualifikationen sowie, auch abweichend von den Vorschriften des Versicherungsvertragsgesetzes für die Pflichtversicherung, an Inhalt und Ausgestaltung der Berufshaftpflichtversicherung einschließlich möglicher Gründe für den Ausschluss der Haftung, die den Zweck der Haftpflichtversicherung nicht gefährden, und der Bestimmung der zuständigen Stelle im Sinne des § 117 Absatz 2 des Versicherungsvertragsgesetzes.</w:t>
      </w:r>
    </w:p>
    <w:p>
      <w:r>
        <w:rPr>
          <w:color w:val="555555"/>
          <w:sz w:val="17"/>
        </w:rPr>
        <w:t xml:space="preserve">Zitiervorschlag: § 23 BtOG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https://recht.nulegal.eu/gesetze/BtOG/23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