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BtOG — Voraussetzung für eine ehrenamtliche Tätigkeit</w:t>
      </w:r>
    </w:p>
    <w:p>
      <w:r>
        <w:rPr>
          <w:color w:val="555555"/>
          <w:sz w:val="18"/>
        </w:rPr>
        <w:t xml:space="preserve">Betreuungsorganisationsgesetz</w:t>
      </w:r>
    </w:p>
    <w:p>
      <w:r>
        <w:rPr>
          <w:color w:val="555555"/>
          <w:sz w:val="18"/>
        </w:rPr>
        <w:t xml:space="preserve">Stand: 01.01.2024 (konsolidierte Textfassung, kein amtliches Inkrafttretensdatum)</w:t>
      </w:r>
    </w:p>
    <w:p>
      <w:r>
        <w:t xml:space="preserve">(1) Voraussetzung für die Führung einer Betreuung als ehrenamtlicher Betreuer ist die persönliche Eignung und Zuverlässigkeit. § 23 Absatz 2 Nummer 1, 2 und 4 gilt entsprechend.</w:t>
      </w:r>
    </w:p>
    <w:p>
      <w:r>
        <w:t xml:space="preserve">(2) Eine Person, die erstmalig zum ehrenamtlichen Betreuer bestellt werden soll, hat vor ihrer Bestellung zur Feststellung ihrer persönlichen Eignung und Zuverlässigkeit der zuständigen Behörde ein Führungszeugnis nach § 30 Absatz 5 des Bundeszentralregistergesetzes und eine Auskunft aus dem zentralen Schuldnerverzeichnis nach § 882b der Zivilprozessordnung vorzulegen, die jeweils nicht älter als drei Monate sein sollen. Die Pflicht zur Vorlage einer Auskunft aus dem zentralen Schuldnerverzeichnis entfällt, wenn die zuständige Behörde die Auskunft nach § 882f Absatz 1 Satz 1 Nummer 2 der Zivilprozessordnung selbst einholt. Satz 1 gilt nicht, sofern die Person im Wege der einstweiligen Anordnung nach den §§ 300 und 301 des Gesetzes über das Verfahren in Familiensachen und in den Angelegenheiten der freiwilligen Gerichtsbarkeit zum vorläufigen Betreuer bestellt wird.</w:t>
      </w:r>
    </w:p>
    <w:p>
      <w:r>
        <w:t xml:space="preserve">(3) Absatz 2 gilt entsprechend, wenn eine Person, die bereits als ehrenamtlicher Betreuer bestellt ist oder war, in einem oder mehreren weiteren Verfahren zum ehrenamtlichen Betreuer bestellt werden soll und das Führungszeugnis und die Auskunft aus dem zentralen Schuldnerverzeichnis nach Absatz 2 Satz 1 zum Zeitpunkt des Betreuervorschlags nach § 12 Absatz 1 älter als drei Jahre sind.</w:t>
      </w:r>
    </w:p>
    <w:p>
      <w:r>
        <w:rPr>
          <w:color w:val="555555"/>
          <w:sz w:val="17"/>
        </w:rPr>
        <w:t xml:space="preserve">Zitiervorschlag: § 21 BtOG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https://recht.nulegal.eu/gesetze/BtOG/21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