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BtOG — Finanzielle Ausstattung</w:t>
      </w:r>
    </w:p>
    <w:p>
      <w:r>
        <w:rPr>
          <w:color w:val="555555"/>
          <w:sz w:val="18"/>
        </w:rPr>
        <w:t xml:space="preserve">Betreuungsorganisationsgesetz</w:t>
      </w:r>
    </w:p>
    <w:p>
      <w:r>
        <w:rPr>
          <w:color w:val="555555"/>
          <w:sz w:val="18"/>
        </w:rPr>
        <w:t xml:space="preserve">Stand: 07.07.2022 (konsolidierte Textfassung, kein amtliches Inkrafttretensdatum)</w:t>
      </w:r>
    </w:p>
    <w:p>
      <w:r>
        <w:t xml:space="preserve">Anerkannte Betreuungsvereine haben Anspruch auf eine bedarfsgerechte finanzielle Ausstattung mit öffentlichen Mitteln zur Wahrnehmung der ihnen nach § 15 Absatz 1 obliegenden Aufgaben. Das Nähere regelt das Landesrecht.</w:t>
      </w:r>
    </w:p>
    <w:p>
      <w:r>
        <w:rPr>
          <w:color w:val="555555"/>
          <w:sz w:val="17"/>
        </w:rPr>
        <w:t xml:space="preserve">Zitiervorschlag: § 17 BtOG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https://recht.nulegal.eu/gesetze/BtOG/17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