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BtOG — Aufgaben kraft gerichtlicher Bestellung</w:t>
      </w:r>
    </w:p>
    <w:p>
      <w:r>
        <w:rPr>
          <w:color w:val="555555"/>
          <w:sz w:val="18"/>
        </w:rPr>
        <w:t xml:space="preserve">Betreuungsorganisationsgesetz</w:t>
      </w:r>
    </w:p>
    <w:p>
      <w:r>
        <w:rPr>
          <w:color w:val="555555"/>
          <w:sz w:val="18"/>
        </w:rPr>
        <w:t xml:space="preserve">Stand: 07.07.2022 (konsolidierte Textfassung, kein amtliches Inkrafttretensdatum)</w:t>
      </w:r>
    </w:p>
    <w:p>
      <w:r>
        <w:t xml:space="preserve">Ein anerkannter Betreuungsverein ist verpflichtet, Mitarbeiter zu beschäftigen, die für die Übernahme von Betreuungen zur Verfügung stehen.</w:t>
      </w:r>
    </w:p>
    <w:p>
      <w:r>
        <w:rPr>
          <w:color w:val="555555"/>
          <w:sz w:val="17"/>
        </w:rPr>
        <w:t xml:space="preserve">Zitiervorschlag: § 16 BtOG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https://recht.nulegal.eu/gesetze/BtOG/16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