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BtOG — Anerkennung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Ein rechtsfähiger Verein kann als Betreuungsverein anerkannt werden, wenn er gewährleistet, dass er</w:t>
      </w:r>
    </w:p>
    <w:p>
      <w:pPr>
        <w:ind w:left="420"/>
      </w:pPr>
      <w:r>
        <w:t xml:space="preserve">1. die Aufgaben nach den §§ 15 und 16 wahrnehmen wird,</w:t>
      </w:r>
    </w:p>
    <w:p>
      <w:pPr>
        <w:ind w:left="420"/>
      </w:pPr>
      <w:r>
        <w:t xml:space="preserve">2. eine ausreichende Zahl geeigneter Mitarbeiter hat und diese beaufsichtigen, weiterbilden und gegen Schäden, die diese anderen im Rahmen ihrer Tätigkeit zufügen können, angemessen versichern wird, und</w:t>
      </w:r>
    </w:p>
    <w:p>
      <w:pPr>
        <w:ind w:left="420"/>
      </w:pPr>
      <w:r>
        <w:t xml:space="preserve">3. einen Erfahrungsaustausch zwischen den Mitarbeitern ermöglicht.</w:t>
      </w:r>
    </w:p>
    <w:p>
      <w:r>
        <w:t xml:space="preserve">(2) Die Anerkennung gilt für das jeweilige Land; sie kann auf einzelne Landesteile beschränkt werden. Sie kann unter Auflagen erteilt werden und ist widerruflich.</w:t>
      </w:r>
    </w:p>
    <w:p>
      <w:r>
        <w:t xml:space="preserve">(3) Das Nähere regelt das Landesrecht. Es kann auch weitere Voraussetzungen für die Anerkennung vorsehen.</w:t>
      </w:r>
    </w:p>
    <w:p>
      <w:r>
        <w:rPr>
          <w:color w:val="555555"/>
          <w:sz w:val="17"/>
        </w:rPr>
        <w:t xml:space="preserve">Zitiervorschlag: § 14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