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BtOG — Weitere Aufgaben</w:t>
      </w:r>
    </w:p>
    <w:p>
      <w:r>
        <w:rPr>
          <w:color w:val="555555"/>
          <w:sz w:val="18"/>
        </w:rPr>
        <w:t xml:space="preserve">Betreuungsorganisationsgesetz</w:t>
      </w:r>
    </w:p>
    <w:p>
      <w:r>
        <w:rPr>
          <w:color w:val="555555"/>
          <w:sz w:val="18"/>
        </w:rPr>
        <w:t xml:space="preserve">Stand: 07.07.2022 (konsolidierte Textfassung, kein amtliches Inkrafttretensdatum)</w:t>
      </w:r>
    </w:p>
    <w:p>
      <w:r>
        <w:t xml:space="preserve">Die Aufgaben, die der Behörde nach anderen Vorschriften obliegen, bleiben unberührt. Zuständige Behörde im Sinne dieser Vorschriften ist die örtliche Behörde.</w:t>
      </w:r>
    </w:p>
    <w:p>
      <w:r>
        <w:rPr>
          <w:color w:val="555555"/>
          <w:sz w:val="17"/>
        </w:rPr>
        <w:t xml:space="preserve">Zitiervorschlag: § 13 BtOG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https://recht.nulegal.eu/gesetze/BtOG/13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