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BtOG — Sachliche Zuständigkeit und Durchführung überörtlicher Aufgaben</w:t>
      </w:r>
    </w:p>
    <w:p>
      <w:r>
        <w:rPr>
          <w:color w:val="555555"/>
          <w:sz w:val="18"/>
        </w:rPr>
        <w:t xml:space="preserve">Betreuungsorganisationsgesetz</w:t>
      </w:r>
    </w:p>
    <w:p>
      <w:r>
        <w:rPr>
          <w:color w:val="555555"/>
          <w:sz w:val="18"/>
        </w:rPr>
        <w:t xml:space="preserve">Stand: 07.07.2022 (konsolidierte Textfassung, kein amtliches Inkrafttretensdatum)</w:t>
      </w:r>
    </w:p>
    <w:p>
      <w:r>
        <w:t xml:space="preserve">(1) Welche Behörde auf örtlicher Ebene in Betreuungsangelegenheiten sachlich zuständig ist, bestimmt sich nach Landesrecht. Diese Behörde ist auch in Unterbringungssachen nach § 312 Nummer 1 bis 3 des Gesetzes über das Verfahren in Familiensachen und in den Angelegenheiten der freiwilligen Gerichtsbarkeit zuständig.</w:t>
      </w:r>
    </w:p>
    <w:p>
      <w:r>
        <w:t xml:space="preserve">(2) Zur Durchführung überörtlicher Aufgaben oder zur Erfüllung einzelner Aufgaben der örtlichen Behörde nach Absatz 1 können nach Landesrecht weitere Behörden vorgesehen werden.</w:t>
      </w:r>
    </w:p>
    <w:p>
      <w:r>
        <w:rPr>
          <w:color w:val="555555"/>
          <w:sz w:val="17"/>
        </w:rPr>
        <w:t xml:space="preserve">Zitiervorschlag: § 1 BtOG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https://recht.nulegal.eu/gesetze/BtOG/1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