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BtMVV 1998 — Nachweisführung</w:t>
      </w:r>
    </w:p>
    <w:p>
      <w:r>
        <w:rPr>
          <w:color w:val="555555"/>
          <w:sz w:val="18"/>
        </w:rPr>
        <w:t xml:space="preserve">Betäubungsmittel-Verschreibungsverordnung</w:t>
      </w:r>
    </w:p>
    <w:p>
      <w:r>
        <w:rPr>
          <w:color w:val="555555"/>
          <w:sz w:val="18"/>
        </w:rPr>
        <w:t xml:space="preserve">Stand: 25.06.2023 (konsolidierte Textfassung, kein amtliches Inkrafttretensdatum)</w:t>
      </w:r>
    </w:p>
    <w:p>
      <w:r>
        <w:t xml:space="preserve">(1) Der Nachweis von Verbleib und Bestand der Betäubungsmittel in den in § 1 Abs. 3 genannten Einrichtungen ist unverzüglich nach Bestandsänderung nach amtlichem Formblatt zu führen. Es können Karteikarten oder Betäubungsmittelbücher mit fortlaufend numerierten Seiten verwendet werden. Die Aufzeichnung kann auch mittels elektronischer Datenverarbeitung erfolgen, sofern jederzeit der Ausdruck der gespeicherten Angaben in der Reihenfolge des amtlichen Formblattes gewährleistet ist. Im Falle des Überlassens eines Substitutionsmittels zum unmittelbaren Verbrauch nach § 5 Absatz 7 Satz 1 oder eines Betäubungsmittels nach § 5c Absatz 2 ist der Verbleib patientenbezogen nachzuweisen.</w:t>
      </w:r>
    </w:p>
    <w:p>
      <w:r>
        <w:t xml:space="preserve">(2) Die Eintragungen über Zugänge, Abgänge und Bestände der Betäubungsmittel sowie die Übereinstimmung der Bestände mit den geführten Nachweisen sind</w:t>
      </w:r>
    </w:p>
    <w:p>
      <w:pPr>
        <w:ind w:left="420"/>
      </w:pPr>
      <w:r>
        <w:t xml:space="preserve">1. von dem Apotheker für die von ihm geleitete Apotheke,</w:t>
      </w:r>
    </w:p>
    <w:p>
      <w:pPr>
        <w:ind w:left="420"/>
      </w:pPr>
      <w:r>
        <w:t xml:space="preserve">2. von dem Tierarzt für die von ihm geleitete tierärztliche Hausapotheke und</w:t>
      </w:r>
    </w:p>
    <w:p>
      <w:pPr>
        <w:ind w:left="420"/>
      </w:pPr>
      <w:r>
        <w:t xml:space="preserve">3. von dem in den §§ 2 bis 4 bezeichneten, verschreibungsberechtigten Arzt, Zahnarzt oder Tierarzt für den Praxis- oder Stationsbedarf,</w:t>
      </w:r>
    </w:p>
    <w:p>
      <w:pPr>
        <w:ind w:left="420"/>
      </w:pPr>
      <w:r>
        <w:t xml:space="preserve">4. von einem nach § 5d Absatz 1 Satz 2 Nummer 1 beauftragten Arzt für Hospize und Einrichtungen der spezialisierten ambulanten Palliativversorgung sowie von dem nach § 6 Absatz 2 beauftragten Arzt für Einrichtungen des Rettungsdienstes,</w:t>
      </w:r>
    </w:p>
    <w:p>
      <w:pPr>
        <w:ind w:left="420"/>
      </w:pPr>
      <w:r>
        <w:t xml:space="preserve">5. vom für die Durchführung der medizinischen Betreuung nach den seearbeitsrechtlichen Vorschriften Verantwortlichen für das jeweilige Kauffahrteischiff, das die Bundesflagge führt,</w:t>
      </w:r>
    </w:p>
    <w:p>
      <w:pPr>
        <w:ind w:left="420"/>
      </w:pPr>
      <w:r>
        <w:t xml:space="preserve">6. im Falle des Nachweises nach Absatz 1 Satz 4 von den in § 5 Absatz 9 Satz 1 und 2 oder den in § 5c Absatz 2 benannten Personen,</w:t>
      </w:r>
    </w:p>
    <w:p>
      <w:pPr>
        <w:ind w:left="420"/>
      </w:pPr>
      <w:r>
        <w:t xml:space="preserve">7. vom Verantwortlichen im Sinne des § 5a Absatz 2 Satz 2 Nummer 3</w:t>
      </w:r>
    </w:p>
    <w:p>
      <w:r>
        <w:t xml:space="preserve">am Ende eines jeden Kalendermonats zu prüfen und, sofern sich der Bestand geändert hat, durch Namenszeichen und Prüfdatum zu bestätigen. Für den Fall, daß die Nachweisführung mittels elektronischer Datenverarbeitung erfolgt, ist die Prüfung auf der Grundlage zum Monatsende angefertigter Ausdrucke durchzuführen. Sobald und solange der Arzt die Nachweisführung und Prüfung nach Satz 1 Nummer 6 nicht selbst vornimmt, hat er sicherzustellen, dass er durch eine Person nach § 5 Absatz 9 Satz 1 und 2 oder § 5c Absatz 2 am Ende eines jeden Kalendermonats über die erfolgte Prüfung und Nachweisführung schriftlich oder elektronisch unterrichtet wird.</w:t>
      </w:r>
    </w:p>
    <w:p>
      <w:r>
        <w:t xml:space="preserve">(3) Die Karteikarten, Betäubungsmittelbücher oder EDV-Ausdrucke nach Absatz 2 Satz 2 sind in den in § 1 Abs. 3 genannten Einrichtungen drei Jahre, von der letzten Eintragung an gerechnet, aufzubewahren. Bei einem Wechsel in der Leitung einer Krankenhausapotheke, einer Einrichtung eines Krankenhauses, einer Tierklinik oder einem Wechsel des beauftragten Arztes nach § 5c Absatz 1 Satz 2 Nummer 1 oder § 6 Absatz 2 Satz 1 sind durch die in Absatz 2 genannten Personen das Datum der Übergabe sowie der übergebene Bestand zu vermerken und durch Unterschrift zu bestätigen. Die Karteikarten, die Betäubungsmittelbücher und die EDV-Ausdrucke sind auf Verlangen der nach § 19 Abs. 1 Satz 3 des Betäubungsmittelgesetzes zuständigen Landesbehörde einzusenden oder Beauftragten dieser Behörde vorzulegen. In der Zwischenzeit sind vorläufige Aufzeichnungen vorzunehmen, die nach Rückgabe der Karteikarten und Betäubungsmittelbücher nachzutragen sind.</w:t>
      </w:r>
    </w:p>
    <w:p>
      <w:r>
        <w:rPr>
          <w:color w:val="555555"/>
          <w:sz w:val="17"/>
        </w:rPr>
        <w:t xml:space="preserve">Zitiervorschlag: § 13 BtMVV 1998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https://recht.nulegal.eu/gesetze/BtMVV%201998/13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