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BtMG 1981 — Entscheidung</w:t>
      </w:r>
    </w:p>
    <w:p>
      <w:r>
        <w:rPr>
          <w:color w:val="555555"/>
          <w:sz w:val="18"/>
        </w:rPr>
        <w:t xml:space="preserve">Betäubungsmittelgesetz</w:t>
      </w:r>
    </w:p>
    <w:p>
      <w:r>
        <w:rPr>
          <w:color w:val="555555"/>
          <w:sz w:val="18"/>
        </w:rPr>
        <w:t xml:space="preserve">Stand: 10.06.2019 (konsolidierte Textfassung, kein amtliches Inkrafttretensdatum)</w:t>
      </w:r>
    </w:p>
    <w:p>
      <w:r>
        <w:t xml:space="preserve">(1) Das Bundesinstitut für Arzneimittel und Medizinprodukte soll innerhalb von drei Monaten nach Eingang des Antrages über die Erteilung der Erlaubnis entscheiden. Es unterrichtet die zuständige oberste Landesbehörde unverzüglich über die Entscheidung.</w:t>
      </w:r>
    </w:p>
    <w:p>
      <w:r>
        <w:t xml:space="preserve">(2) Gibt das Bundesinstitut für Arzneimittel und Medizinprodukte dem Antragsteller Gelegenheit, Mängeln des Antrages abzuhelfen, so wird die in Absatz 1 bezeichnete Frist bis zur Behebung der Mängel oder bis zum Ablauf der zur Behebung der Mängel gesetzten Frist gehemmt. Die Hemmung beginnt mit dem Tage, an dem dem Antragsteller die Aufforderung zur Behebung der Mängel zugestellt wird.</w:t>
      </w:r>
    </w:p>
    <w:p>
      <w:r>
        <w:t xml:space="preserve">(3) Der Inhaber der Erlaubnis hat jede Änderung der in § 7 bezeichneten Angaben dem Bundesinstitut für Arzneimittel und Medizinprodukte unverzüglich mitzuteilen. Bei einer Erweiterung hinsichtlich der Art der Betäubungsmittel oder des Betäubungsmittelverkehrs sowie bei Änderungen in der Person des Erlaubnisinhabers oder der Lage der Betriebsstätten, ausgenommen innerhalb eines Gebäudes, ist eine neue Erlaubnis zu beantragen. In den anderen Fällen wird die Erlaubnis geändert. Die zuständige oberste Landesbehörde wird über die Änderung der Erlaubnis unverzüglich unterrichtet.</w:t>
      </w:r>
    </w:p>
    <w:p>
      <w:r>
        <w:rPr>
          <w:color w:val="555555"/>
          <w:sz w:val="17"/>
        </w:rPr>
        <w:t xml:space="preserve">Zitiervorschlag: § 8 BtMG 1981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https://recht.nulegal.eu/gesetze/BtMG%201981/8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