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BtMG 1981 — Übergangsregelung</w:t>
      </w:r>
    </w:p>
    <w:p>
      <w:r>
        <w:rPr>
          <w:color w:val="555555"/>
          <w:sz w:val="18"/>
        </w:rPr>
        <w:t xml:space="preserve">Betäubungsmittelgesetz</w:t>
      </w:r>
    </w:p>
    <w:p>
      <w:r>
        <w:rPr>
          <w:color w:val="555555"/>
          <w:sz w:val="18"/>
        </w:rPr>
        <w:t xml:space="preserve">Stand: 10.06.2019 (konsolidierte Textfassung, kein amtliches Inkrafttretensdatum)</w:t>
      </w:r>
    </w:p>
    <w:p>
      <w:r>
        <w:t xml:space="preserve">Einrichtungen, in deren Räumlichkeiten der Verbrauch von mitgeführten, ärztlich nicht verschriebenen Betäubungsmitteln vor dem 1. Januar 1999 geduldet wurde, dürfen ohne eine Erlaubnis der zuständigen obersten Landesbehörde nur weiterbetrieben werden, wenn spätestens 24 Monate nach dem Inkrafttreten des Dritten BtMG-Änderungsgesetzes vom 28. März 2000 (BGBl. I S. 302) eine Rechtsverordnung nach § 10a Abs. 2 erlassen und ein Antrag auf Erlaubnis nach § 10a Abs. 1 gestellt wird. Bis zur unanfechtbaren Entscheidung über einen Antrag können diese Einrichtungen nur weiterbetrieben werden, soweit die Anforderungen nach § 10a Abs. 2 oder einer nach dieser Vorschrift erlassenen Rechtsverordnung erfüllt werden. § 29 Abs. 1 Satz 1 Nr. 10 und 11 gilt auch für Einrichtungen nach Satz 1.</w:t>
      </w:r>
    </w:p>
    <w:p>
      <w:r>
        <w:rPr>
          <w:color w:val="555555"/>
          <w:sz w:val="17"/>
        </w:rPr>
        <w:t xml:space="preserve">Zitiervorschlag: § 39 BtMG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https://recht.nulegal.eu/gesetze/BtMG%201981/39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