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BtMG 1981 — Strafmilderung oder Absehen von Strafe</w:t>
      </w:r>
    </w:p>
    <w:p>
      <w:r>
        <w:rPr>
          <w:color w:val="555555"/>
          <w:sz w:val="18"/>
        </w:rPr>
        <w:t xml:space="preserve">Betäubungsmittelgesetz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die Strafe nach § 49 Abs. 1 des Strafgesetzbuches mildern oder, wenn der Täter keine Freiheitsstrafe von mehr als drei Jahren verwirkt hat, von Strafe absehen, wenn der Täter</w:t>
      </w:r>
    </w:p>
    <w:p>
      <w:pPr>
        <w:ind w:left="420"/>
      </w:pPr>
      <w:r>
        <w:t xml:space="preserve">1. durch freiwilliges Offenbaren seines Wissens wesentlich dazu beigetragen hat, daß eine Straftat nach den §§ 29 bis 30a, die mit seiner Tat im Zusammenhang steht, aufgedeckt werden konnte, oder</w:t>
      </w:r>
    </w:p>
    <w:p>
      <w:pPr>
        <w:ind w:left="420"/>
      </w:pPr>
      <w:r>
        <w:t xml:space="preserve">2. freiwillig sein Wissen so rechtzeitig einer Dienststelle offenbart, daß eine Straftat nach § 29 Abs. 3, § 29a Abs. 1, § 30 Abs. 1, § 30a Abs. 1 die mit seiner Tat im Zusammenhang steht und von deren Planung er weiß, noch verhindert werden kann.</w:t>
      </w:r>
    </w:p>
    <w:p>
      <w:r>
        <w:t xml:space="preserve">War der Täter an der Tat beteiligt, muss sich sein Beitrag zur Aufklärung nach Satz 1 Nummer 1 über den eigenen Tatbeitrag hinaus erstrecken. § 46b Abs. 2 und 3 des Strafgesetzbuches gilt entsprechend.</w:t>
      </w:r>
    </w:p>
    <w:p>
      <w:r>
        <w:rPr>
          <w:color w:val="555555"/>
          <w:sz w:val="17"/>
        </w:rPr>
        <w:t xml:space="preserve">Zitiervorschlag: § 31 BtMG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https://recht.nulegal.eu/gesetze/BtMG%201981/31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