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BtMG 1981 — Meldungen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einer Erlaubnis nach § 3 ist verpflichtet, dem Bundesinstitut für Arzneimittel und Medizinprodukte getrennt für jede Betriebsstätte und für jedes Betäubungsmittel die jeweilige Menge zu melden, die</w:t>
      </w:r>
    </w:p>
    <w:p>
      <w:pPr>
        <w:ind w:left="420"/>
      </w:pPr>
      <w:r>
        <w:t xml:space="preserve">1. beim Anbau gewonnen wurde, unter Angabe der Anbaufläche nach Lage und Größe,</w:t>
      </w:r>
    </w:p>
    <w:p>
      <w:pPr>
        <w:ind w:left="420"/>
      </w:pPr>
      <w:r>
        <w:t xml:space="preserve">2. hergestellt wurde, aufgeschlüsselt nach Ausgangsstoffen,</w:t>
      </w:r>
    </w:p>
    <w:p>
      <w:pPr>
        <w:ind w:left="420"/>
      </w:pPr>
      <w:r>
        <w:t xml:space="preserve">3. zur Herstellung anderer Betäubungsmittel verwendet wurde, aufgeschlüsselt nach diesen Betäubungsmitteln,</w:t>
      </w:r>
    </w:p>
    <w:p>
      <w:pPr>
        <w:ind w:left="420"/>
      </w:pPr>
      <w:r>
        <w:t xml:space="preserve">4. zur Herstellung von nicht unter dieses Gesetz fallenden Stoffen verwendet wurde, aufgeschlüsselt nach diesen Stoffen,</w:t>
      </w:r>
    </w:p>
    <w:p>
      <w:pPr>
        <w:ind w:left="420"/>
      </w:pPr>
      <w:r>
        <w:t xml:space="preserve">5. zur Herstellung ausgenommener Zubereitungen verwendet wurde, aufgeschlüsselt nach diesen Zubereitungen,</w:t>
      </w:r>
    </w:p>
    <w:p>
      <w:pPr>
        <w:ind w:left="420"/>
      </w:pPr>
      <w:r>
        <w:t xml:space="preserve">6. eingeführt wurde, aufgeschlüsselt nach Ausfuhrländern,</w:t>
      </w:r>
    </w:p>
    <w:p>
      <w:pPr>
        <w:ind w:left="420"/>
      </w:pPr>
      <w:r>
        <w:t xml:space="preserve">7. ausgeführt wurde, aufgeschlüsselt nach Einfuhrländern,</w:t>
      </w:r>
    </w:p>
    <w:p>
      <w:pPr>
        <w:ind w:left="420"/>
      </w:pPr>
      <w:r>
        <w:t xml:space="preserve">8. erworben wurde,</w:t>
      </w:r>
    </w:p>
    <w:p>
      <w:pPr>
        <w:ind w:left="420"/>
      </w:pPr>
      <w:r>
        <w:t xml:space="preserve">9. abgegeben wurde,</w:t>
      </w:r>
    </w:p>
    <w:p>
      <w:pPr>
        <w:ind w:left="420"/>
      </w:pPr>
      <w:r>
        <w:t xml:space="preserve">10. vernichtet wurde,</w:t>
      </w:r>
    </w:p>
    <w:p>
      <w:pPr>
        <w:ind w:left="420"/>
      </w:pPr>
      <w:r>
        <w:t xml:space="preserve">11. zu anderen als den nach den Nummern 1 bis 10 angegebenen Zwecken verwendet wurde, aufgeschlüsselt nach den jeweiligen Verwendungszwecken und</w:t>
      </w:r>
    </w:p>
    <w:p>
      <w:pPr>
        <w:ind w:left="420"/>
      </w:pPr>
      <w:r>
        <w:t xml:space="preserve">12. am Ende des jeweiligen Kalenderhalbjahres als Bestand vorhanden war.</w:t>
      </w:r>
    </w:p>
    <w:p>
      <w:r>
        <w:t xml:space="preserve">(2) Die in den Meldungen anzugebenden Mengen sind</w:t>
      </w:r>
    </w:p>
    <w:p>
      <w:pPr>
        <w:ind w:left="420"/>
      </w:pPr>
      <w:r>
        <w:t xml:space="preserve">1. bei Stoffen und nicht abgeteilten Zubereitungen die Gewichtsmenge und</w:t>
      </w:r>
    </w:p>
    <w:p>
      <w:pPr>
        <w:ind w:left="420"/>
      </w:pPr>
      <w:r>
        <w:t xml:space="preserve">2. bei abgeteilten Zubereitungen die Stückzahl.</w:t>
      </w:r>
    </w:p>
    <w:p>
      <w:r>
        <w:t xml:space="preserve">(3) Die Meldungen nach Absatz 1 Nr. 2 bis 12 sind dem Bundesinstitut für Arzneimittel und Medizinprodukte jeweils bis zum 31. Januar und 31. Juli für das vergangene Kalenderhalbjahr und die Meldung nach Absatz 1 Nr. 1 bis zum 31. Januar für das vergangene Kalenderjahr einzusenden.</w:t>
      </w:r>
    </w:p>
    <w:p>
      <w:r>
        <w:t xml:space="preserve">(4) Für die in Absatz 1 bezeichneten Meldungen sind die vom Bundesinstitut für Arzneimittel und Medizinprodukte herausgegebenen amtlichen Formblätter zu verwenden.</w:t>
      </w:r>
    </w:p>
    <w:p>
      <w:r>
        <w:rPr>
          <w:color w:val="555555"/>
          <w:sz w:val="17"/>
        </w:rPr>
        <w:t xml:space="preserve">Zitiervorschlag: § 18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https://recht.nulegal.eu/gesetze/BtMG%201981/18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