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BtMG 1981 — Kennzeichnung und Werbung</w:t>
      </w:r>
    </w:p>
    <w:p>
      <w:r>
        <w:rPr>
          <w:color w:val="555555"/>
          <w:sz w:val="18"/>
        </w:rPr>
        <w:t xml:space="preserve">Betäubungsmittelgesetz</w:t>
      </w:r>
    </w:p>
    <w:p>
      <w:r>
        <w:rPr>
          <w:color w:val="555555"/>
          <w:sz w:val="18"/>
        </w:rPr>
        <w:t xml:space="preserve">Stand: 10.06.2019 (konsolidierte Textfassung, kein amtliches Inkrafttretensdatum)</w:t>
      </w:r>
    </w:p>
    <w:p>
      <w:r>
        <w:t xml:space="preserve">(1) Im Betäubungsmittelverkehr sind die Betäubungsmittel unter Verwendung der in den Anlagen aufgeführten Kurzbezeichnungen zu kennzeichnen. Die Kennzeichnung hat in deutlich lesbarer Schrift, in deutscher Sprache und auf dauerhafte Weise zu erfolgen.</w:t>
      </w:r>
    </w:p>
    <w:p>
      <w:r>
        <w:t xml:space="preserve">(2) Die Kennzeichnung muß außerdem enthalten</w:t>
      </w:r>
    </w:p>
    <w:p>
      <w:pPr>
        <w:ind w:left="420"/>
      </w:pPr>
      <w:r>
        <w:t xml:space="preserve">1. bei rohen, ungereinigten und nicht abgeteilten Betäubungsmitteln den Gewichtsvomhundertsatz und bei abgeteilten Betäubungsmitteln das Gewicht des enthaltenen reinen Stoffes,</w:t>
      </w:r>
    </w:p>
    <w:p>
      <w:pPr>
        <w:ind w:left="420"/>
      </w:pPr>
      <w:r>
        <w:t xml:space="preserve">2. auf Betäubungsmittelbehältnissen und - soweit verwendet - auf den äußeren Umhüllungen bei Stoffen und nicht abgeteilten Zubereitungen die enthaltene Gewichtsmenge, bei abgeteilten Zubereitungen die enthaltene Stückzahl; dies gilt nicht für Vorratsbehältnisse in wissenschaftlichen Laboratorien sowie für zur Abgabe bestimmte kleine Behältnisse und Ampullen.</w:t>
      </w:r>
    </w:p>
    <w:p>
      <w:r>
        <w:t xml:space="preserve">(3) Die Absätze 1 und 2 gelten nicht für Vorratsbehältnisse in Apotheken und tierärztlichen Hausapotheken.</w:t>
      </w:r>
    </w:p>
    <w:p>
      <w:r>
        <w:t xml:space="preserve">(4) Die Absätze 1 und 2 gelten sinngemäß auch für die Bezeichnung von Betäubungsmitteln, in Katalogen, Preislisten, Werbeanzeigen oder ähnlichen Druckerzeugnissen, die für die am Betäubungsmittelverkehr beteiligten Fachkreise bestimmt sind.</w:t>
      </w:r>
    </w:p>
    <w:p>
      <w:r>
        <w:t xml:space="preserve">(5) Für in Anlage I bezeichnete Betäubungsmittel darf nicht geworben werden. Für in den Anlagen II und III bezeichnete Betäubungsmittel darf nur in Fachkreisen der Industrie und des Handels sowie bei Personen und Personenvereinigungen, die eine Apotheke oder eine tierärztliche Hausapotheke betreiben, geworben werden, für in Anlage III bezeichnete Betäubungsmittel auch bei Ärzten, Zahnärzten und Tierärzten.</w:t>
      </w:r>
    </w:p>
    <w:p>
      <w:r>
        <w:rPr>
          <w:color w:val="555555"/>
          <w:sz w:val="17"/>
        </w:rPr>
        <w:t xml:space="preserve">Zitiervorschlag: § 14 BtMG 1981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https://recht.nulegal.eu/gesetze/BtMG%201981/14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