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10b BtMG 1981 — Erlaubnis für die Durchführung von Modellvorhaben zu Substanzanalysen</w:t>
      </w:r>
    </w:p>
    <w:p>
      <w:r>
        <w:rPr>
          <w:color w:val="555555"/>
          <w:sz w:val="18"/>
        </w:rPr>
        <w:t xml:space="preserve">Betäubungsmittelgesetz</w:t>
      </w:r>
    </w:p>
    <w:p>
      <w:r>
        <w:rPr>
          <w:color w:val="555555"/>
          <w:sz w:val="18"/>
        </w:rPr>
        <w:t xml:space="preserve">Stand: 27.07.2023 (konsolidierte Textfassung, kein amtliches Inkrafttretensdatum)</w:t>
      </w:r>
    </w:p>
    <w:p>
      <w:r>
        <w:t xml:space="preserve">(1) Die zuständigen Landesbehörden können eine Erlaubnis für Modellvorhaben zur qualitativen und quantitativen chemischen Analyse von mitgeführten, nicht ärztlich, zahnärztlich oder tierärztlich verschriebenen Betäubungsmitteln erteilen, wenn mit der Analyse eine Risikobewertung und gesundheitliche Aufklärung über die Folgen des Konsums für die die Betäubungsmittel besitzende Person verbunden ist (Drug-Checking-Modellvorhaben).</w:t>
      </w:r>
    </w:p>
    <w:p>
      <w:r>
        <w:t xml:space="preserve">(2) Die Landesregierungen haben zur Verbesserung des Gesundheitsschutzes und einer besseren gesundheitlichen Aufklärung durch Rechtsverordnung Bestimmungen über die Erteilung einer in Absatz 1 genannten Erlaubnis einschließlich der hierfür geltenden Voraussetzungen zu erlassen. In der Rechtsverordnung nach Satz 1 sind insbesondere folgende Anforderungen an die Durchführung von Drug-Checking-Modellvorhaben festzulegen:</w:t>
      </w:r>
    </w:p>
    <w:p>
      <w:pPr>
        <w:ind w:left="420"/>
      </w:pPr>
      <w:r>
        <w:t xml:space="preserve">1. Vorhandensein einer zweckdienlichen sachlichen Ausstattung;</w:t>
      </w:r>
    </w:p>
    <w:p>
      <w:pPr>
        <w:ind w:left="420"/>
      </w:pPr>
      <w:r>
        <w:t xml:space="preserve">2. Gewährleistung einer Aufklärung über die Risiken des Konsums von Betäubungsmitteln einschließlich einer Beratung zum Zweck der gesundheitlichen Risikominderung beim Konsum;</w:t>
      </w:r>
    </w:p>
    <w:p>
      <w:pPr>
        <w:ind w:left="420"/>
      </w:pPr>
      <w:r>
        <w:t xml:space="preserve">3. Gewährleistung einer Vermittlung in weiterführende Angebote der Suchthilfe bei Bedarf seitens der Konsumierenden;</w:t>
      </w:r>
    </w:p>
    <w:p>
      <w:pPr>
        <w:ind w:left="420"/>
      </w:pPr>
      <w:r>
        <w:t xml:space="preserve">4. Dokumentation der zur Untersuchung eingereichten Substanzen mit Untersuchungsergebnis und der angewandten Methode zur Ermöglichung der in Absatz 3 Satz 1 genannten gesundheitlichen Aufklärung und wissenschaftlichen Begleitung und zur Berücksichtigung der Untersuchungsergebnisse in öffentlichen substanzbezogenen Warnungen;</w:t>
      </w:r>
    </w:p>
    <w:p>
      <w:pPr>
        <w:ind w:left="420"/>
      </w:pPr>
      <w:r>
        <w:t xml:space="preserve">5. Vorgaben zur Sicherheit und Kontrolle des Betäubungsmittelverkehrs bei Verwahrung und Transport von zu untersuchenden Proben und zur Vernichtung der zu untersuchenden Proben nach der Substanzanalyse;</w:t>
      </w:r>
    </w:p>
    <w:p>
      <w:pPr>
        <w:ind w:left="420"/>
      </w:pPr>
      <w:r>
        <w:t xml:space="preserve">6. Festlegung erforderlicher Formen der Zusammenarbeit mit den für die öffentliche Sicherheit und Ordnung zuständigen örtlichen Behörden;</w:t>
      </w:r>
    </w:p>
    <w:p>
      <w:pPr>
        <w:ind w:left="420"/>
      </w:pPr>
      <w:r>
        <w:t xml:space="preserve">7. ständige Anwesenheit während der üblichen Geschäftszeiten des Modellvorhabens von persönlich zuverlässigem Personal in ausreichender Zahl, das für die Erfüllung der in den Nummern 1 bis 6 genannten Anforderungen fachlich qualifiziert ist;</w:t>
      </w:r>
    </w:p>
    <w:p>
      <w:pPr>
        <w:ind w:left="420"/>
      </w:pPr>
      <w:r>
        <w:t xml:space="preserve">8. Vorhandensein einer sachkundigen Person, die für die Einhaltung der in den Nummern 1 bis 7 genannten Anforderungen, der Auflagen der Erlaubnisbehörde sowie der Anordnungen der Überwachungsbehörde verantwortlich ist und die die ihr obliegenden Verpflichtungen ständig während der üblichen Geschäftszeiten des Modellvorhabens erfüllen kann und gegenüber der zuständigen Behörde vor Erteilung der in Absatz 1 genannten Erlaubnis zu benennen ist.</w:t>
      </w:r>
    </w:p>
    <w:p>
      <w:r>
        <w:t xml:space="preserve">In der Rechtsverordnung nach Satz 1 sind das Verfahren der Erteilung der in Absatz 1 genannten Erlaubnis und die hierfür jeweils zuständige Behörde zu bestimmen.</w:t>
      </w:r>
    </w:p>
    <w:p>
      <w:r>
        <w:t xml:space="preserve">(3) Die Länder stellen jeweils eine wissenschaftliche Begleitung und Auswertung der Modellvorhaben im Hinblick auf die Erreichung der Ziele einer besseren gesundheitlichen Aufklärung sowie eines verbesserten Gesundheitsschutzes sicher. Die Länder übermitteln dem Bundesministerium für Gesundheit oder einem von ihm beauftragten Dritten auf Anforderung die Ergebnisse der Modellvorhaben.</w:t>
      </w:r>
    </w:p>
    <w:p>
      <w:r>
        <w:rPr>
          <w:color w:val="555555"/>
          <w:sz w:val="17"/>
        </w:rPr>
        <w:t xml:space="preserve">Zitiervorschlag: § 10b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https://recht.nulegal.eu/gesetze/BtMG%201981/10b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10b BtMG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