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BtMBinHV</w:t>
      </w:r>
    </w:p>
    <w:p>
      <w:r>
        <w:rPr>
          <w:color w:val="555555"/>
          <w:sz w:val="18"/>
        </w:rPr>
        <w:t xml:space="preserve">Betäubungsmittel-Binnenhandelsverordnung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4 des Betäubungsmittelgesetzes vom 28. Juli 1981 (BGBl. I S. 681) wird verordnet:</w:t>
      </w:r>
    </w:p>
    <w:p>
      <w:r>
        <w:rPr>
          <w:color w:val="555555"/>
          <w:sz w:val="17"/>
        </w:rPr>
        <w:t xml:space="preserve">Zitiervorschlag: Eingangsformel BtMBinHV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https://recht.nulegal.eu/gesetze/BtMBinHV/eingangsformel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