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 BtMBinHV</w:t>
      </w:r>
    </w:p>
    <w:p>
      <w:r>
        <w:rPr>
          <w:color w:val="555555"/>
          <w:sz w:val="18"/>
        </w:rPr>
        <w:t xml:space="preserve">Betäubungsmittel-Binnenhandelsverordnung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 Verordnung tritt am 1. Januar 1982 in Kraft.</w:t>
      </w:r>
    </w:p>
    <w:p>
      <w:r>
        <w:t xml:space="preserve">(2)</w:t>
      </w:r>
    </w:p>
    <w:p>
      <w:r>
        <w:t xml:space="preserve">(3)</w:t>
      </w:r>
    </w:p>
    <w:p>
      <w:r>
        <w:rPr>
          <w:color w:val="555555"/>
          <w:sz w:val="17"/>
        </w:rPr>
        <w:t xml:space="preserve">Zitiervorschlag: § 9 BtMBinHV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https://recht.nulegal.eu/gesetze/BtMBinHV/9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