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BtMBinHV</w:t>
      </w:r>
    </w:p>
    <w:p>
      <w:r>
        <w:rPr>
          <w:color w:val="555555"/>
          <w:sz w:val="18"/>
        </w:rPr>
        <w:t xml:space="preserve">Betäubungsmittel-Binnenhandelsverordnung</w:t>
      </w:r>
    </w:p>
    <w:p>
      <w:r>
        <w:rPr>
          <w:color w:val="555555"/>
          <w:sz w:val="18"/>
        </w:rPr>
        <w:t xml:space="preserve">Stand: 01.01.2023 (konsolidierte Textfassung, kein amtliches Inkrafttretensdatum)</w:t>
      </w:r>
    </w:p>
    <w:p>
      <w:r>
        <w:t xml:space="preserve">Ordnungswidrig im Sinne des § 32 Abs. 1 Nr. 6 des Betäubungsmittelgesetzes handelt, wer vorsätzlich oder fahrlässig</w:t>
      </w:r>
    </w:p>
    <w:p>
      <w:pPr>
        <w:ind w:left="420"/>
      </w:pPr>
      <w:r>
        <w:t xml:space="preserve">1. (weggefallen)</w:t>
      </w:r>
    </w:p>
    <w:p>
      <w:pPr>
        <w:ind w:left="420"/>
      </w:pPr>
      <w:r>
        <w:t xml:space="preserve">2. entgegen § 2 Abs. 1 Satz 1 auf einem Abgabebeleg eine Angabe nicht, nicht richtig, nicht vollständig, nicht übereinstimmend oder nicht in der vorgeschriebenen Weise macht,</w:t>
      </w:r>
    </w:p>
    <w:p>
      <w:pPr>
        <w:ind w:left="420"/>
      </w:pPr>
      <w:r>
        <w:t xml:space="preserve">3. entgegen § 2 Abs. 1 Satz 2 die Abgabemeldung nicht mit seiner elektronischen Signatur versieht,</w:t>
      </w:r>
    </w:p>
    <w:p>
      <w:pPr>
        <w:ind w:left="420"/>
      </w:pPr>
      <w:r>
        <w:t xml:space="preserve">4. entgegen § 3 Abs. 3 das Lieferscheindoppel nicht aufbewahrt,</w:t>
      </w:r>
    </w:p>
    <w:p>
      <w:pPr>
        <w:ind w:left="420"/>
      </w:pPr>
      <w:r>
        <w:t xml:space="preserve">5. entgegen § 4 Abs. 1 die Empfangsbestätigung oder den Lieferschein nicht mit dem Empfangsdatum versieht, nicht oder nicht vorschriftsmäßig unterschreibt oder nicht mit seiner elektronischen Signatur versieht oder festgestellte Abweichungen in ihnen nicht oder nicht vorschriftsmäßig vermerkt oder die Empfangsbestätigung nicht rechtzeitig als Schriftstück oder elektronisches Dokument zurücksendet,</w:t>
      </w:r>
    </w:p>
    <w:p>
      <w:pPr>
        <w:ind w:left="420"/>
      </w:pPr>
      <w:r>
        <w:t xml:space="preserve">6. entgegen § 4 Abs. 2 das Lieferscheindoppel nicht mit dem Empfangsdatum der Empfangsbestätigung versieht, vermerkte Abweichungen nicht oder nicht vorschriftsmäßig auf dem Lieferscheindoppel einträgt oder dieses nicht rechtzeitig dem Bundesinstitut für Arzneimittel und Medizinprodukte als elektronisches Dokument übersendet oder</w:t>
      </w:r>
    </w:p>
    <w:p>
      <w:pPr>
        <w:ind w:left="420"/>
      </w:pPr>
      <w:r>
        <w:t xml:space="preserve">7. entgegen § 5 die dort bezeichneten Teile des Abgabebelegs nicht oder nicht vorschriftsmäßig aufbewahrt.</w:t>
      </w:r>
    </w:p>
    <w:p>
      <w:r>
        <w:rPr>
          <w:color w:val="555555"/>
          <w:sz w:val="17"/>
        </w:rPr>
        <w:t xml:space="preserve">Zitiervorschlag: § 7 BtMBinHV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https://recht.nulegal.eu/gesetze/BtMBinHV/7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